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Yu Gothic" w:hAnsi="Yu Gothic" w:eastAsia="Yu Gothic"/>
        </w:rPr>
        <w:t>森林の多感覚環境、温泉浴およびSPA</w:t>
        <w:br/>
        <w:t>トリートメントをつなぐ継続的未病ケアモデル</w:t>
      </w:r>
    </w:p>
    <w:p>
      <w:pPr>
        <w:pStyle w:val="Subtitle"/>
      </w:pPr>
      <w:r>
        <w:rPr>
          <w:rFonts w:ascii="Yu Gothic" w:hAnsi="Yu Gothic" w:eastAsia="Yu Gothic"/>
        </w:rPr>
        <w:t>―感情調整、自律神経・内分泌機能、免疫調節および身体回復力に着目した理論構築―</w:t>
      </w:r>
    </w:p>
    <w:p>
      <w:pPr>
        <w:spacing w:line="331" w:lineRule="auto" w:after="120"/>
        <w:jc w:val="center"/>
      </w:pPr>
      <w:r>
        <w:rPr>
          <w:rFonts w:ascii="Yu Mincho" w:hAnsi="Yu Mincho" w:eastAsia="Yu Mincho"/>
        </w:rPr>
        <w:t>演題登録カテゴリー：8．未病ケアと森林浴</w:t>
      </w:r>
    </w:p>
    <w:p>
      <w:pPr>
        <w:spacing w:line="331" w:lineRule="auto" w:after="120"/>
        <w:jc w:val="center"/>
      </w:pPr>
      <w:r>
        <w:rPr>
          <w:rFonts w:ascii="Yu Mincho" w:hAnsi="Yu Mincho" w:eastAsia="Yu Mincho"/>
        </w:rPr>
        <w:t>論文種別：理論的考察および探索的研究計画</w:t>
      </w:r>
    </w:p>
    <w:p>
      <w:pPr>
        <w:spacing w:line="331" w:lineRule="auto" w:after="120"/>
        <w:jc w:val="center"/>
      </w:pPr>
      <w:r>
        <w:rPr>
          <w:rFonts w:ascii="Yu Mincho" w:hAnsi="Yu Mincho" w:eastAsia="Yu Mincho"/>
        </w:rPr>
        <w:t>著者：石原美惠子、張 維昌、クリスティーナ＝エレナ・ストイカ、プレドラグ・フィリポヴィッチ</w:t>
      </w:r>
    </w:p>
    <w:p>
      <w:pPr>
        <w:pStyle w:val="Heading2"/>
      </w:pPr>
      <w:r>
        <w:rPr>
          <w:rFonts w:ascii="Yu Gothic" w:hAnsi="Yu Gothic" w:eastAsia="Yu Gothic"/>
        </w:rPr>
        <w:t>研究体制</w:t>
      </w:r>
    </w:p>
    <w:tbl>
      <w:tblPr>
        <w:tblStyle w:val="TableGrid"/>
        <w:tblW w:type="auto" w:w="0"/>
        <w:jc w:val="center"/>
        <w:tblLook w:firstColumn="1" w:firstRow="1" w:lastColumn="0" w:lastRow="0" w:noHBand="0" w:noVBand="1" w:val="04A0"/>
      </w:tblPr>
      <w:tblGrid>
        <w:gridCol w:w="2310"/>
        <w:gridCol w:w="2310"/>
        <w:gridCol w:w="2310"/>
        <w:gridCol w:w="2310"/>
      </w:tblGrid>
      <w:tr>
        <w:tc>
          <w:tcPr>
            <w:tcW w:type="dxa" w:w="1474"/>
            <w:vAlign w:val="center"/>
            <w:tcMar>
              <w:top w:w="100" w:type="dxa"/>
              <w:start w:w="120" w:type="dxa"/>
              <w:bottom w:w="100" w:type="dxa"/>
              <w:end w:w="120" w:type="dxa"/>
            </w:tcMar>
            <w:shd w:fill="D7E8DE"/>
          </w:tcPr>
          <w:p>
            <w:r>
              <w:rPr>
                <w:rFonts w:ascii="Yu Mincho" w:hAnsi="Yu Mincho" w:eastAsia="Yu Mincho"/>
              </w:rPr>
              <w:t>区分</w:t>
            </w:r>
          </w:p>
        </w:tc>
        <w:tc>
          <w:tcPr>
            <w:tcW w:type="dxa" w:w="2268"/>
            <w:vAlign w:val="center"/>
            <w:tcMar>
              <w:top w:w="100" w:type="dxa"/>
              <w:start w:w="120" w:type="dxa"/>
              <w:bottom w:w="100" w:type="dxa"/>
              <w:end w:w="120" w:type="dxa"/>
            </w:tcMar>
            <w:shd w:fill="D7E8DE"/>
          </w:tcPr>
          <w:p>
            <w:r>
              <w:rPr>
                <w:rFonts w:ascii="Yu Mincho" w:hAnsi="Yu Mincho" w:eastAsia="Yu Mincho"/>
              </w:rPr>
              <w:t>氏名</w:t>
            </w:r>
          </w:p>
        </w:tc>
        <w:tc>
          <w:tcPr>
            <w:tcW w:type="dxa" w:w="4082"/>
            <w:vAlign w:val="center"/>
            <w:tcMar>
              <w:top w:w="100" w:type="dxa"/>
              <w:start w:w="120" w:type="dxa"/>
              <w:bottom w:w="100" w:type="dxa"/>
              <w:end w:w="120" w:type="dxa"/>
            </w:tcMar>
            <w:shd w:fill="D7E8DE"/>
          </w:tcPr>
          <w:p>
            <w:r>
              <w:rPr>
                <w:rFonts w:ascii="Yu Mincho" w:hAnsi="Yu Mincho" w:eastAsia="Yu Mincho"/>
              </w:rPr>
              <w:t>所属・役職</w:t>
            </w:r>
          </w:p>
        </w:tc>
        <w:tc>
          <w:tcPr>
            <w:tcW w:type="dxa" w:w="1814"/>
            <w:vAlign w:val="center"/>
            <w:tcMar>
              <w:top w:w="100" w:type="dxa"/>
              <w:start w:w="120" w:type="dxa"/>
              <w:bottom w:w="100" w:type="dxa"/>
              <w:end w:w="120" w:type="dxa"/>
            </w:tcMar>
            <w:shd w:fill="D7E8DE"/>
          </w:tcPr>
          <w:p>
            <w:r>
              <w:rPr>
                <w:rFonts w:ascii="Yu Mincho" w:hAnsi="Yu Mincho" w:eastAsia="Yu Mincho"/>
              </w:rPr>
              <w:t>研究上の役割</w:t>
            </w:r>
          </w:p>
        </w:tc>
      </w:tr>
      <w:tr>
        <w:tc>
          <w:tcPr>
            <w:tcW w:type="dxa" w:w="1474"/>
            <w:vAlign w:val="center"/>
            <w:tcMar>
              <w:top w:w="100" w:type="dxa"/>
              <w:start w:w="120" w:type="dxa"/>
              <w:bottom w:w="100" w:type="dxa"/>
              <w:end w:w="120" w:type="dxa"/>
            </w:tcMar>
          </w:tcPr>
          <w:p>
            <w:r>
              <w:rPr>
                <w:rFonts w:ascii="Yu Mincho" w:hAnsi="Yu Mincho" w:eastAsia="Yu Mincho"/>
              </w:rPr>
              <w:t>筆頭研究者</w:t>
              <w:br/>
              <w:t>筆頭著者</w:t>
            </w:r>
          </w:p>
        </w:tc>
        <w:tc>
          <w:tcPr>
            <w:tcW w:type="dxa" w:w="2268"/>
            <w:vAlign w:val="center"/>
            <w:tcMar>
              <w:top w:w="100" w:type="dxa"/>
              <w:start w:w="120" w:type="dxa"/>
              <w:bottom w:w="100" w:type="dxa"/>
              <w:end w:w="120" w:type="dxa"/>
            </w:tcMar>
          </w:tcPr>
          <w:p>
            <w:r>
              <w:rPr>
                <w:rFonts w:ascii="Yu Mincho" w:hAnsi="Yu Mincho" w:eastAsia="Yu Mincho"/>
              </w:rPr>
              <w:t>石原美惠子</w:t>
              <w:br/>
              <w:t>Mieko Ishihara</w:t>
            </w:r>
          </w:p>
        </w:tc>
        <w:tc>
          <w:tcPr>
            <w:tcW w:type="dxa" w:w="4082"/>
            <w:vAlign w:val="center"/>
            <w:tcMar>
              <w:top w:w="100" w:type="dxa"/>
              <w:start w:w="120" w:type="dxa"/>
              <w:bottom w:w="100" w:type="dxa"/>
              <w:end w:w="120" w:type="dxa"/>
            </w:tcMar>
          </w:tcPr>
          <w:p>
            <w:r>
              <w:rPr>
                <w:rFonts w:ascii="Yu Mincho" w:hAnsi="Yu Mincho" w:eastAsia="Yu Mincho"/>
              </w:rPr>
              <w:t>一般社団法人国際審査員連盟</w:t>
            </w:r>
          </w:p>
        </w:tc>
        <w:tc>
          <w:tcPr>
            <w:tcW w:type="dxa" w:w="1814"/>
            <w:vAlign w:val="center"/>
            <w:tcMar>
              <w:top w:w="100" w:type="dxa"/>
              <w:start w:w="120" w:type="dxa"/>
              <w:bottom w:w="100" w:type="dxa"/>
              <w:end w:w="120" w:type="dxa"/>
            </w:tcMar>
          </w:tcPr>
          <w:p>
            <w:r>
              <w:rPr>
                <w:rFonts w:ascii="Yu Mincho" w:hAnsi="Yu Mincho" w:eastAsia="Yu Mincho"/>
              </w:rPr>
              <w:t>本研究の筆頭研究者・筆頭著者</w:t>
            </w:r>
          </w:p>
        </w:tc>
      </w:tr>
      <w:tr>
        <w:tc>
          <w:tcPr>
            <w:tcW w:type="dxa" w:w="1474"/>
            <w:vAlign w:val="center"/>
            <w:tcMar>
              <w:top w:w="100" w:type="dxa"/>
              <w:start w:w="120" w:type="dxa"/>
              <w:bottom w:w="100" w:type="dxa"/>
              <w:end w:w="120" w:type="dxa"/>
            </w:tcMar>
          </w:tcPr>
          <w:p>
            <w:r>
              <w:rPr>
                <w:rFonts w:ascii="Yu Mincho" w:hAnsi="Yu Mincho" w:eastAsia="Yu Mincho"/>
              </w:rPr>
              <w:t>共同研究者</w:t>
              <w:br/>
              <w:t>共著者</w:t>
            </w:r>
          </w:p>
        </w:tc>
        <w:tc>
          <w:tcPr>
            <w:tcW w:type="dxa" w:w="2268"/>
            <w:vAlign w:val="center"/>
            <w:tcMar>
              <w:top w:w="100" w:type="dxa"/>
              <w:start w:w="120" w:type="dxa"/>
              <w:bottom w:w="100" w:type="dxa"/>
              <w:end w:w="120" w:type="dxa"/>
            </w:tcMar>
          </w:tcPr>
          <w:p>
            <w:r>
              <w:rPr>
                <w:rFonts w:ascii="Yu Mincho" w:hAnsi="Yu Mincho" w:eastAsia="Yu Mincho"/>
              </w:rPr>
              <w:t>張 維昌</w:t>
              <w:br/>
              <w:t>Zhang Weichang</w:t>
            </w:r>
          </w:p>
        </w:tc>
        <w:tc>
          <w:tcPr>
            <w:tcW w:type="dxa" w:w="4082"/>
            <w:vAlign w:val="center"/>
            <w:tcMar>
              <w:top w:w="100" w:type="dxa"/>
              <w:start w:w="120" w:type="dxa"/>
              <w:bottom w:w="100" w:type="dxa"/>
              <w:end w:w="120" w:type="dxa"/>
            </w:tcMar>
          </w:tcPr>
          <w:p>
            <w:r>
              <w:rPr>
                <w:rFonts w:ascii="Yu Mincho" w:hAnsi="Yu Mincho" w:eastAsia="Yu Mincho"/>
              </w:rPr>
              <w:t>一般社団法人国際審査員連盟</w:t>
            </w:r>
          </w:p>
        </w:tc>
        <w:tc>
          <w:tcPr>
            <w:tcW w:type="dxa" w:w="1814"/>
            <w:vAlign w:val="center"/>
            <w:tcMar>
              <w:top w:w="100" w:type="dxa"/>
              <w:start w:w="120" w:type="dxa"/>
              <w:bottom w:w="100" w:type="dxa"/>
              <w:end w:w="120" w:type="dxa"/>
            </w:tcMar>
          </w:tcPr>
          <w:p>
            <w:r>
              <w:rPr>
                <w:rFonts w:ascii="Yu Mincho" w:hAnsi="Yu Mincho" w:eastAsia="Yu Mincho"/>
              </w:rPr>
              <w:t>共同研究者・共著者</w:t>
            </w:r>
          </w:p>
        </w:tc>
      </w:tr>
      <w:tr>
        <w:tc>
          <w:tcPr>
            <w:tcW w:type="dxa" w:w="1474"/>
            <w:vAlign w:val="center"/>
            <w:tcMar>
              <w:top w:w="100" w:type="dxa"/>
              <w:start w:w="120" w:type="dxa"/>
              <w:bottom w:w="100" w:type="dxa"/>
              <w:end w:w="120" w:type="dxa"/>
            </w:tcMar>
          </w:tcPr>
          <w:p>
            <w:r>
              <w:rPr>
                <w:rFonts w:ascii="Yu Mincho" w:hAnsi="Yu Mincho" w:eastAsia="Yu Mincho"/>
              </w:rPr>
              <w:t>共同研究者</w:t>
              <w:br/>
              <w:t>共著者</w:t>
            </w:r>
          </w:p>
        </w:tc>
        <w:tc>
          <w:tcPr>
            <w:tcW w:type="dxa" w:w="2268"/>
            <w:vAlign w:val="center"/>
            <w:tcMar>
              <w:top w:w="100" w:type="dxa"/>
              <w:start w:w="120" w:type="dxa"/>
              <w:bottom w:w="100" w:type="dxa"/>
              <w:end w:w="120" w:type="dxa"/>
            </w:tcMar>
          </w:tcPr>
          <w:p>
            <w:r>
              <w:rPr>
                <w:rFonts w:ascii="Yu Mincho" w:hAnsi="Yu Mincho" w:eastAsia="Yu Mincho"/>
              </w:rPr>
              <w:t>クリスティーナ＝エレナ・ストイカ博士</w:t>
              <w:br/>
              <w:t>Stoica Cristina-Elena</w:t>
            </w:r>
          </w:p>
        </w:tc>
        <w:tc>
          <w:tcPr>
            <w:tcW w:type="dxa" w:w="4082"/>
            <w:vAlign w:val="center"/>
            <w:tcMar>
              <w:top w:w="100" w:type="dxa"/>
              <w:start w:w="120" w:type="dxa"/>
              <w:bottom w:w="100" w:type="dxa"/>
              <w:end w:w="120" w:type="dxa"/>
            </w:tcMar>
          </w:tcPr>
          <w:p>
            <w:r>
              <w:rPr>
                <w:rFonts w:ascii="Yu Mincho" w:hAnsi="Yu Mincho" w:eastAsia="Yu Mincho"/>
              </w:rPr>
              <w:t>ルーマニア・バカウ「ヴァシレ・アレクサンドリ」大学身体運動・スポーツ・健康科学部理学療法・作業療法学科准教授</w:t>
            </w:r>
          </w:p>
        </w:tc>
        <w:tc>
          <w:tcPr>
            <w:tcW w:type="dxa" w:w="1814"/>
            <w:vAlign w:val="center"/>
            <w:tcMar>
              <w:top w:w="100" w:type="dxa"/>
              <w:start w:w="120" w:type="dxa"/>
              <w:bottom w:w="100" w:type="dxa"/>
              <w:end w:w="120" w:type="dxa"/>
            </w:tcMar>
          </w:tcPr>
          <w:p>
            <w:r>
              <w:rPr>
                <w:rFonts w:ascii="Yu Mincho" w:hAnsi="Yu Mincho" w:eastAsia="Yu Mincho"/>
              </w:rPr>
              <w:t>共同研究者・共著者</w:t>
            </w:r>
          </w:p>
        </w:tc>
      </w:tr>
      <w:tr>
        <w:tc>
          <w:tcPr>
            <w:tcW w:type="dxa" w:w="1474"/>
            <w:vAlign w:val="center"/>
            <w:tcMar>
              <w:top w:w="100" w:type="dxa"/>
              <w:start w:w="120" w:type="dxa"/>
              <w:bottom w:w="100" w:type="dxa"/>
              <w:end w:w="120" w:type="dxa"/>
            </w:tcMar>
          </w:tcPr>
          <w:p>
            <w:r>
              <w:rPr>
                <w:rFonts w:ascii="Yu Mincho" w:hAnsi="Yu Mincho" w:eastAsia="Yu Mincho"/>
              </w:rPr>
              <w:t>共同研究者</w:t>
              <w:br/>
              <w:t>共著者</w:t>
            </w:r>
          </w:p>
        </w:tc>
        <w:tc>
          <w:tcPr>
            <w:tcW w:type="dxa" w:w="2268"/>
            <w:vAlign w:val="center"/>
            <w:tcMar>
              <w:top w:w="100" w:type="dxa"/>
              <w:start w:w="120" w:type="dxa"/>
              <w:bottom w:w="100" w:type="dxa"/>
              <w:end w:w="120" w:type="dxa"/>
            </w:tcMar>
          </w:tcPr>
          <w:p>
            <w:r>
              <w:rPr>
                <w:rFonts w:ascii="Yu Mincho" w:hAnsi="Yu Mincho" w:eastAsia="Yu Mincho"/>
              </w:rPr>
              <w:t>プレドラグ・フィリポヴィッチ</w:t>
              <w:br/>
              <w:t>Predrag Filipović</w:t>
            </w:r>
          </w:p>
        </w:tc>
        <w:tc>
          <w:tcPr>
            <w:tcW w:type="dxa" w:w="4082"/>
            <w:vAlign w:val="center"/>
            <w:tcMar>
              <w:top w:w="100" w:type="dxa"/>
              <w:start w:w="120" w:type="dxa"/>
              <w:bottom w:w="100" w:type="dxa"/>
              <w:end w:w="120" w:type="dxa"/>
            </w:tcMar>
          </w:tcPr>
          <w:p>
            <w:r>
              <w:rPr>
                <w:rFonts w:ascii="Yu Mincho" w:hAnsi="Yu Mincho" w:eastAsia="Yu Mincho"/>
              </w:rPr>
              <w:t>ウェルネス・アカデミー・ペジャ・フィリポヴィッチ（セルビア共和国・ベオグラード）代表・学院長、マッサージおよびウェルネス・プログラム教育者・開発者、経済学修士</w:t>
            </w:r>
          </w:p>
        </w:tc>
        <w:tc>
          <w:tcPr>
            <w:tcW w:type="dxa" w:w="1814"/>
            <w:vAlign w:val="center"/>
            <w:tcMar>
              <w:top w:w="100" w:type="dxa"/>
              <w:start w:w="120" w:type="dxa"/>
              <w:bottom w:w="100" w:type="dxa"/>
              <w:end w:w="120" w:type="dxa"/>
            </w:tcMar>
          </w:tcPr>
          <w:p>
            <w:r>
              <w:rPr>
                <w:rFonts w:ascii="Yu Mincho" w:hAnsi="Yu Mincho" w:eastAsia="Yu Mincho"/>
              </w:rPr>
              <w:t>共同研究者・共著者</w:t>
            </w:r>
          </w:p>
        </w:tc>
      </w:tr>
    </w:tbl>
    <w:p>
      <w:pPr>
        <w:pStyle w:val="Heading1"/>
      </w:pPr>
      <w:r>
        <w:rPr>
          <w:rFonts w:ascii="Yu Gothic" w:hAnsi="Yu Gothic" w:eastAsia="Yu Gothic"/>
        </w:rPr>
        <w:t>要旨</w:t>
      </w:r>
    </w:p>
    <w:p>
      <w:pPr>
        <w:spacing w:line="331" w:lineRule="auto" w:after="120"/>
        <w:ind w:firstLine="408"/>
        <w:jc w:val="both"/>
      </w:pPr>
      <w:r>
        <w:rPr>
          <w:rFonts w:ascii="Yu Mincho" w:hAnsi="Yu Mincho" w:eastAsia="Yu Mincho"/>
        </w:rPr>
        <w:t>背景：筆頭著者は、長年にわたりSPAおよび健康ケアに携わってきた。その実践のなかで、利用者が施術中に呼吸を整え、身体の緊張を緩め、終了時には明確な安堵感を得る一方、日常生活へ戻った後の持続時間には大きな個人差があることを繰り返し経験してきた。ここから、SPAが回復への切替えを促すのであれば、その後に実際の森林と温泉へ身を置くことで、回復状態をより安定させ、長く保てるのではないかという研究課題が生まれた。</w:t>
      </w:r>
    </w:p>
    <w:p>
      <w:pPr>
        <w:spacing w:line="331" w:lineRule="auto" w:after="120"/>
        <w:ind w:firstLine="408"/>
        <w:jc w:val="both"/>
      </w:pPr>
      <w:r>
        <w:rPr>
          <w:rFonts w:ascii="Yu Mincho" w:hAnsi="Yu Mincho" w:eastAsia="Yu Mincho"/>
        </w:rPr>
        <w:t>目的：森林の多感覚環境を中核に、SPAトリートメント、森林浴、温泉浴および日常的な自然接触をつなぐ継続的未病ケアモデルを構築する。あわせて、三つの現実的なケア経路による即時変化と持続的変化を、少ない記録負担で把握する探索的な被験者内研究を提案する。</w:t>
      </w:r>
    </w:p>
    <w:p>
      <w:pPr>
        <w:spacing w:line="331" w:lineRule="auto" w:after="120"/>
        <w:ind w:firstLine="408"/>
        <w:jc w:val="both"/>
      </w:pPr>
      <w:r>
        <w:rPr>
          <w:rFonts w:ascii="Yu Mincho" w:hAnsi="Yu Mincho" w:eastAsia="Yu Mincho"/>
        </w:rPr>
        <w:t>方法：成人6名を対象とし、全参加者がA→B→Cの順に三つの実験段階を各1回経験する。1人3セッション、合計18セッションとする。A段階は標準化したSPAトリートメント、B段階は同一のSPA後に森林浴を行う経路、C段階は同一のSPA後に森林浴と温泉浴を順に行う経路である。隣接セッションは7日以上あけ、次の開始前に参加者が概ね通常状態へ戻っていることを確認する。評価は介入前、一連のプログラム終了直後、24時間後、48時間後、72時間後に行い、回復感が明確に残る場合は7日目まで継続する。主要評価項目は主観的ストレス、身体回復感、身体緊張感および回復効果の持続時間である。分析では、各参加者のSPA段階、森林浴追加段階、温泉浴追加段階における持続時間と得点推移を実施順に示し、次に6名のうち段階的な延長を示した人数と、三段階の代表的な持続時間、中央値および範囲をまとめる。</w:t>
      </w:r>
    </w:p>
    <w:p>
      <w:pPr>
        <w:spacing w:line="331" w:lineRule="auto" w:after="120"/>
        <w:ind w:firstLine="408"/>
        <w:jc w:val="both"/>
      </w:pPr>
      <w:r>
        <w:rPr>
          <w:rFonts w:ascii="Yu Mincho" w:hAnsi="Yu Mincho" w:eastAsia="Yu Mincho"/>
        </w:rPr>
        <w:t>意義：本稿では、SPAを室内における自然の再構成と身体調整の始動段階、森林浴を実際の多感覚自然環境と接触する中核段階、温泉浴を水熱環境と休息による回復支援段階として位置づける。研究の焦点を「終了時に楽になったか」から「改善がどの程度続くか」へ進めることで、長年の実践で得られた観察を、記録、比較および継続的な検証が可能な研究形式へ変換する。</w:t>
      </w:r>
    </w:p>
    <w:p>
      <w:pPr>
        <w:spacing w:line="331" w:lineRule="auto" w:after="120"/>
        <w:ind w:firstLine="408"/>
        <w:jc w:val="both"/>
      </w:pPr>
      <w:r>
        <w:rPr>
          <w:rFonts w:ascii="Yu Mincho" w:hAnsi="Yu Mincho" w:eastAsia="Yu Mincho"/>
        </w:rPr>
        <w:t>キーワード：森林浴、未病ケア、温泉浴、SPAトリートメント、多感覚環境、ストレス回復、自律神経、免疫調節、身体回復力</w:t>
      </w:r>
    </w:p>
    <w:p>
      <w:pPr>
        <w:pStyle w:val="Heading1"/>
      </w:pPr>
      <w:r>
        <w:rPr>
          <w:rFonts w:ascii="Yu Gothic" w:hAnsi="Yu Gothic" w:eastAsia="Yu Gothic"/>
        </w:rPr>
        <w:t>1．研究背景と課題の形成</w:t>
      </w:r>
    </w:p>
    <w:p>
      <w:pPr>
        <w:spacing w:line="331" w:lineRule="auto" w:after="120"/>
        <w:ind w:firstLine="408"/>
        <w:jc w:val="both"/>
      </w:pPr>
      <w:r>
        <w:rPr>
          <w:rFonts w:ascii="Yu Mincho" w:hAnsi="Yu Mincho" w:eastAsia="Yu Mincho"/>
        </w:rPr>
        <w:t>現代人のストレスは、仕事、睡眠不足、電子情報への持続的接触、家庭内の役割、対人関係、長時間にわたる注意集中など、複数の要因が重なって形成される。短時間のストレス反応は、課題を遂行するうえで必要な生理反応である。しかし、緊張が解かれる前に次の負荷が加わる生活が続くと、浅い呼吸、筋緊張、睡眠の揺らぎ、疲労感、感情の不安定さが日常化する。前向き研究および系統的レビューでは、心理的ストレスや心理的苦痛が、その後のさまざまな健康状態と関連し、睡眠、行動、自律神経、内分泌および身体感覚を介して影響することが示されている[1,2]。</w:t>
      </w:r>
    </w:p>
    <w:p>
      <w:pPr>
        <w:spacing w:line="331" w:lineRule="auto" w:after="120"/>
        <w:ind w:firstLine="408"/>
        <w:jc w:val="both"/>
      </w:pPr>
      <w:r>
        <w:rPr>
          <w:rFonts w:ascii="Yu Mincho" w:hAnsi="Yu Mincho" w:eastAsia="Yu Mincho"/>
        </w:rPr>
        <w:t>森林医学は、こうした現代的な健康課題を背景に発展してきた。日本の森林医学研究では、緑の景観、自然音、植物の香り、空気、温湿度および穏やかな身体活動を、森林という一つの環境のなかで捉え、ストレス関連ホルモン、自律神経活動、血圧、睡眠、気分および免疫関連指標との関係を検討している[3,85-87]。日本各地の森林におけるフィールド研究とその後の系統的レビューから、森林環境への接触と短期的なストレス回復との関連について、一定の知見が蓄積されている[4-8,48-53,76-78,89]。</w:t>
      </w:r>
    </w:p>
    <w:p>
      <w:pPr>
        <w:spacing w:line="331" w:lineRule="auto" w:after="120"/>
        <w:ind w:firstLine="408"/>
        <w:jc w:val="both"/>
      </w:pPr>
      <w:r>
        <w:rPr>
          <w:rFonts w:ascii="Yu Mincho" w:hAnsi="Yu Mincho" w:eastAsia="Yu Mincho"/>
        </w:rPr>
        <w:t>本稿の問いは、筆者が長年携わってきたSPAおよび健康ケアの現場から生まれた。施術室に入った時点で、肩や頸部が硬く、呼吸が浅く、意識が仕事や心配事から離れない利用者は少なくない。照明を落とし、室温と香りを整え、一定した圧と速度で身体に触れ、静かな時間を保つと、次第に呼吸が変わり、身体の防御的な緊張がほどけていく。施術終了時には、多くの利用者が「身体が軽い」「頭が静かになった」「呼吸がしやすい」と語る。</w:t>
      </w:r>
    </w:p>
    <w:p>
      <w:pPr>
        <w:spacing w:line="331" w:lineRule="auto" w:after="120"/>
        <w:ind w:firstLine="408"/>
        <w:jc w:val="both"/>
      </w:pPr>
      <w:r>
        <w:rPr>
          <w:rFonts w:ascii="Yu Mincho" w:hAnsi="Yu Mincho" w:eastAsia="Yu Mincho"/>
        </w:rPr>
        <w:t>一方、実践を長く続けるほど、施術直後の変化そのものよりも、その変化がいつまで残るのかが重要であると感じるようになった。翌日には疲労が戻る人もいれば、数日間にわたり安定が続く人もいる。また、SPAの後に公園や森林を歩いた日、あるいは温泉で静かに過ごした日には、回復感がより安定したと語る利用者もいた。この経験から、SPAが身体に「回復へ向かう入口」をつくり、その後に実際の森林と温泉を体験することで、その状態をより深く、より長く保てるのではないかと考えた。</w:t>
      </w:r>
    </w:p>
    <w:p>
      <w:pPr>
        <w:spacing w:line="331" w:lineRule="auto" w:after="120"/>
        <w:ind w:firstLine="408"/>
        <w:jc w:val="both"/>
      </w:pPr>
      <w:r>
        <w:rPr>
          <w:rFonts w:ascii="Yu Mincho" w:hAnsi="Yu Mincho" w:eastAsia="Yu Mincho"/>
        </w:rPr>
        <w:t>ここには二つの観察軸がある。一つは、活動終了時にストレス、緊張、疲労がどの程度変化したかという「変化の大きさ」である。もう一つは、その変化が24時間後、48時間後、72時間後にも残っているかという「変化の時間構造」である。健康ケアの現場では、施術直後の感想が重視されやすい。しかし未病ケアの観点からみると、ストレス状態から平衡状態へ戻る速さと、その平衡を保てる時間の双方が、生活の安定に直結する。</w:t>
      </w:r>
    </w:p>
    <w:p>
      <w:pPr>
        <w:spacing w:line="331" w:lineRule="auto" w:after="120"/>
        <w:ind w:firstLine="408"/>
        <w:jc w:val="both"/>
      </w:pPr>
      <w:r>
        <w:rPr>
          <w:rFonts w:ascii="Yu Mincho" w:hAnsi="Yu Mincho" w:eastAsia="Yu Mincho"/>
        </w:rPr>
        <w:t>SPA、森林浴、温泉浴を一つの流れとして捉える理由は、三つの環境の間に連続性があるためである。SPAは、植物、木材、石、水音、芳香、温熱、照明、湿度および触覚を組み合わせ、森林と温泉の一部を都市の室内に再構成している。森林浴では、風、光、香り、音、地面の感触、地形、季節および生命活動そのものに身体を置く。温泉浴では、水の温熱、浮力、静水圧、泉質と浴後の休息が加わる。時間に追われる生活者にとってSPAは自然体験への入口となり、森林と温泉はその入口を実際の自然環境へつなぐ場となる。</w:t>
      </w:r>
    </w:p>
    <w:p>
      <w:pPr>
        <w:spacing w:line="331" w:lineRule="auto" w:after="120"/>
        <w:ind w:firstLine="408"/>
        <w:jc w:val="both"/>
      </w:pPr>
      <w:r>
        <w:rPr>
          <w:rFonts w:ascii="Yu Mincho" w:hAnsi="Yu Mincho" w:eastAsia="Yu Mincho"/>
        </w:rPr>
        <w:t>この研究課題は、日本森林医学会の演題カテゴリー「未病ケアと森林浴」と直接関係する[44]。本稿では、筆者が実践のなかで培ってきた身体観察と環境への感覚を残しながら、概念を定義し、既存研究との接点を示し、再現可能な条件と測定時点を定めることにより、現場の問いを検証可能な形へ整える。</w:t>
      </w:r>
    </w:p>
    <w:p>
      <w:pPr>
        <w:pStyle w:val="Heading1"/>
      </w:pPr>
      <w:r>
        <w:rPr>
          <w:rFonts w:ascii="Yu Gothic" w:hAnsi="Yu Gothic" w:eastAsia="Yu Gothic"/>
        </w:rPr>
        <w:t>2．継続的未病ケアモデルの理論的基盤</w:t>
      </w:r>
    </w:p>
    <w:p>
      <w:pPr>
        <w:pStyle w:val="Heading2"/>
      </w:pPr>
      <w:r>
        <w:rPr>
          <w:rFonts w:ascii="Yu Gothic" w:hAnsi="Yu Gothic" w:eastAsia="Yu Gothic"/>
        </w:rPr>
        <w:t>2.1　連続的に観察される健康状態としての未病</w:t>
      </w:r>
    </w:p>
    <w:p>
      <w:pPr>
        <w:spacing w:line="331" w:lineRule="auto" w:after="120"/>
        <w:ind w:firstLine="408"/>
        <w:jc w:val="both"/>
      </w:pPr>
      <w:r>
        <w:rPr>
          <w:rFonts w:ascii="Yu Mincho" w:hAnsi="Yu Mincho" w:eastAsia="Yu Mincho"/>
        </w:rPr>
        <w:t>本稿でいう未病とは、明確な疾病が成立する以前に、健康状態がすでに連続的な変化を示している段階を指す。ストレスの蓄積、持続する疲労、睡眠の質の低下、身体の緊張、注意力の低下、回復の遅れなどは、その変化を捉える手がかりとなる。神奈川県のME-BYO施策も、健康と病気を固定した二分法ではなく、連続的に移り変わる状態として示し、日常の行動によって健康側へ近づける考え方を提示している[26,42]。健康増進と一次予防の観点から、未病ケアの意義は、この調整可能な時間帯を早い段階で捉えることにある[27]。</w:t>
      </w:r>
    </w:p>
    <w:p>
      <w:pPr>
        <w:spacing w:line="331" w:lineRule="auto" w:after="120"/>
        <w:ind w:firstLine="408"/>
        <w:jc w:val="both"/>
      </w:pPr>
      <w:r>
        <w:rPr>
          <w:rFonts w:ascii="Yu Mincho" w:hAnsi="Yu Mincho" w:eastAsia="Yu Mincho"/>
        </w:rPr>
        <w:t>本研究では、未病の変化を、①主観的ストレスが低下するか、②身体の緊張がほどけるか、③回復感がどの程度持続するか、④本人が有効な方法を日常生活へ取り入れられるか、という四つの側面から観察する。このように整理することで、未病は抽象的な概念にとどまらず、時間の流れに沿って記録できる健康の軌跡となる。</w:t>
      </w:r>
    </w:p>
    <w:p>
      <w:pPr>
        <w:spacing w:line="331" w:lineRule="auto" w:after="120"/>
        <w:ind w:firstLine="408"/>
        <w:jc w:val="both"/>
      </w:pPr>
      <w:r>
        <w:rPr>
          <w:rFonts w:ascii="Yu Mincho" w:hAnsi="Yu Mincho" w:eastAsia="Yu Mincho"/>
        </w:rPr>
        <w:t>ストレスの蓄積は、睡眠が浅い、肩や背中が重い、呼吸が短い、注意が続かない、食欲が揺れる、休んでも疲れが抜けないといった小さな変化として現れる。こうした変化を施術前後の身体感覚、ストレス評価、睡眠状態および回復時間として継続的に記録することは、生活者自身が早期の健康サインに気づく助けにもなる。</w:t>
      </w:r>
    </w:p>
    <w:p>
      <w:pPr>
        <w:pStyle w:val="Heading2"/>
      </w:pPr>
      <w:r>
        <w:rPr>
          <w:rFonts w:ascii="Yu Gothic" w:hAnsi="Yu Gothic" w:eastAsia="Yu Gothic"/>
        </w:rPr>
        <w:t>2.2　ストレス状態と身体回復の連続性</w:t>
      </w:r>
    </w:p>
    <w:p>
      <w:pPr>
        <w:spacing w:line="331" w:lineRule="auto" w:after="120"/>
        <w:ind w:firstLine="408"/>
        <w:jc w:val="both"/>
      </w:pPr>
      <w:r>
        <w:rPr>
          <w:rFonts w:ascii="Yu Mincho" w:hAnsi="Yu Mincho" w:eastAsia="Yu Mincho"/>
        </w:rPr>
        <w:t>本稿が扱う感情変化の中心は、持続するストレスに伴う緊張感、圧迫感、落ち着かなさ、心配および「休んでも頭が働き続ける」状態である。これらは心理的な経験であると同時に、呼吸、筋緊張、睡眠、身体警戒の程度と結びついている。ストレス反応には交感神経系、視床下部―下垂体―副腎系および関連ホルモンが関与し、その状態が長引くと、疲労回復、免疫調節、消化感覚および疼痛感受性も連動して変化する[1,2,5,48-53]。</w:t>
      </w:r>
    </w:p>
    <w:p>
      <w:pPr>
        <w:spacing w:line="331" w:lineRule="auto" w:after="120"/>
        <w:ind w:firstLine="408"/>
        <w:jc w:val="both"/>
      </w:pPr>
      <w:r>
        <w:rPr>
          <w:rFonts w:ascii="Yu Mincho" w:hAnsi="Yu Mincho" w:eastAsia="Yu Mincho"/>
        </w:rPr>
        <w:t>したがって、本研究でいう「感情が整う」とは、外部の仕事や心配事への警戒が弱まり、呼吸と身体感覚が落ち着き、主観的ストレスが低下し、翌日にも身体の軽さが残る状態を意味する。SPA、森林、温泉がもたらす情緒的な価値は、楽しさを一時的に提供することだけではなく、緊張から安定へ移行する身体的な経験を支える点にある。</w:t>
      </w:r>
    </w:p>
    <w:p>
      <w:pPr>
        <w:spacing w:line="331" w:lineRule="auto" w:after="120"/>
        <w:ind w:firstLine="408"/>
        <w:jc w:val="both"/>
      </w:pPr>
      <w:r>
        <w:rPr>
          <w:rFonts w:ascii="Yu Mincho" w:hAnsi="Yu Mincho" w:eastAsia="Yu Mincho"/>
        </w:rPr>
        <w:t>ケアの現場で利用者が語る「胸につかえている」「身体が開かない」「ずっと疲れが残っている」といった言葉は、ストレス得点、身体緊張得点、回復感および持続時間へ置き換えて記録できる。実践者の言葉と研究の言葉を切り離すのではなく、両者を対応させることが、本研究の重要な姿勢である。</w:t>
      </w:r>
    </w:p>
    <w:p>
      <w:pPr>
        <w:pStyle w:val="Heading2"/>
      </w:pPr>
      <w:r>
        <w:rPr>
          <w:rFonts w:ascii="Yu Gothic" w:hAnsi="Yu Gothic" w:eastAsia="Yu Gothic"/>
        </w:rPr>
        <w:t>2.3　SPAトリートメント：室内における自然の再構成と回復の始動</w:t>
      </w:r>
    </w:p>
    <w:p>
      <w:pPr>
        <w:spacing w:line="331" w:lineRule="auto" w:after="120"/>
        <w:ind w:firstLine="408"/>
        <w:jc w:val="both"/>
      </w:pPr>
      <w:r>
        <w:rPr>
          <w:rFonts w:ascii="Yu Mincho" w:hAnsi="Yu Mincho" w:eastAsia="Yu Mincho"/>
        </w:rPr>
        <w:t>現代のSPA空間は、森林と温泉がもつ感覚要素を多く取り入れている。植物、木材、石材、流水音、植物の香り、柔らかな照明、温熱および適度な湿度は、管理された室内環境のなかで自然を想起させる。木の質感と緑は森林の視覚、水音と自然音楽は自然の音風景、植物芳香は森林の嗅覚、温熱と蒸気は温泉の体感に対応し、トリートメントによる触覚は意識を身体へ戻す役割を担う。バイオフィリックな室内空間、間接的な自然接触および多感覚自然環境に関する研究は、このような室内再構成とストレス回復との関係を示している[63,64,79,81,82]。</w:t>
      </w:r>
    </w:p>
    <w:p>
      <w:pPr>
        <w:spacing w:line="331" w:lineRule="auto" w:after="120"/>
        <w:ind w:firstLine="408"/>
        <w:jc w:val="both"/>
      </w:pPr>
      <w:r>
        <w:rPr>
          <w:rFonts w:ascii="Yu Mincho" w:hAnsi="Yu Mincho" w:eastAsia="Yu Mincho"/>
        </w:rPr>
        <w:t>時間や移動の制約がある都市生活者にとって、森林や温泉へ頻繁に出かけることは容易ではない。SPAは、光、温度、音、香りおよび接触を安定して整えられるため、自然の感覚要素へ近づく実用的な入口となる。施術者は、その日の呼吸、身体の緊張、疲労の程度を確認しながら、触圧、速度および休止の間を調整できる。この可及性と調整可能性がSPAの強みである。</w:t>
      </w:r>
    </w:p>
    <w:p>
      <w:pPr>
        <w:spacing w:line="331" w:lineRule="auto" w:after="120"/>
        <w:ind w:firstLine="408"/>
        <w:jc w:val="both"/>
      </w:pPr>
      <w:r>
        <w:rPr>
          <w:rFonts w:ascii="Yu Mincho" w:hAnsi="Yu Mincho" w:eastAsia="Yu Mincho"/>
        </w:rPr>
        <w:t>SPAの回復作用には、施術者と利用者の間に生じる触覚的相互作用も関わる。触覚介入の系統的レビューでは、適切な身体接触とストレス、疼痛および心身状態との関係が示されている[16]。マッサージ研究では、オキシトシン、副腎皮質刺激ホルモン、免疫関連指標および心拍変動などの変化も報告されている[17-20]。一定した圧、予測可能なリズム、施術者の落ち着いた呼吸は、長く緊張していた身体に安全な感覚を与える。利用者はそこで、硬さと緩み、浅い呼吸と深い呼吸、防御している身体と受け入れている身体の違いを改めて感じ取る。</w:t>
      </w:r>
    </w:p>
    <w:p>
      <w:pPr>
        <w:spacing w:line="331" w:lineRule="auto" w:after="120"/>
        <w:ind w:firstLine="408"/>
        <w:jc w:val="both"/>
      </w:pPr>
      <w:r>
        <w:rPr>
          <w:rFonts w:ascii="Yu Mincho" w:hAnsi="Yu Mincho" w:eastAsia="Yu Mincho"/>
        </w:rPr>
        <w:t>筆者の実践では、この変化を「身体の滞りをほどく」「詰まりを開く」と表現することがある。研究上は、主観的な身体抵抗感、局所の筋緊張、触圧への敏感さ、動作のしやすさ、呼吸の通りやすさとして記録する。初回研究では、①最も緊張している部位、②その緊張の程度（0～10）、③施術後に呼吸、動作または触れられ方がどのように変わったか、という三つの質問を用いる。施術者も、組織の硬さ、触圧に対する回避または受容、呼吸リズムの変化を記録する。利用者と施術者の二つの視点を対応させることで、実践知をより安定した観察へ近づける。</w:t>
      </w:r>
    </w:p>
    <w:p>
      <w:pPr>
        <w:spacing w:line="331" w:lineRule="auto" w:after="120"/>
        <w:ind w:firstLine="408"/>
        <w:jc w:val="both"/>
      </w:pPr>
      <w:r>
        <w:rPr>
          <w:rFonts w:ascii="Yu Mincho" w:hAnsi="Yu Mincho" w:eastAsia="Yu Mincho"/>
        </w:rPr>
        <w:t>観察の一貫性を高めるため、初回研究では「詰まりが開く」という体験を三つの簡潔な質問に置き換える。すなわち、最も緊張している部位、その緊張の程度（0～10）、施術後に動作、呼吸または触圧の感じ方がどのように変化したか、である。施術者は別に、触圧時の組織緊張、参加者が触圧を避けるか受け入れるか、施術中の呼吸リズムの変化を記録する。両者の記録を対応させることで、施術者の判断または参加者の表現だけに偏ることを避ける。</w:t>
      </w:r>
    </w:p>
    <w:p>
      <w:pPr>
        <w:spacing w:line="331" w:lineRule="auto" w:after="120"/>
        <w:ind w:firstLine="408"/>
        <w:jc w:val="both"/>
      </w:pPr>
      <w:r>
        <w:rPr>
          <w:rFonts w:ascii="Yu Mincho" w:hAnsi="Yu Mincho" w:eastAsia="Yu Mincho"/>
        </w:rPr>
        <w:t>SPAは、本モデルにおける始動段階である。安定した室内環境のなかで、利用者が「身体が緩んだ状態」をまず体験し、その感覚を基準として、次の森林と温泉へ進む。</w:t>
      </w:r>
    </w:p>
    <w:p>
      <w:pPr>
        <w:pStyle w:val="Heading2"/>
      </w:pPr>
      <w:r>
        <w:rPr>
          <w:rFonts w:ascii="Yu Gothic" w:hAnsi="Yu Gothic" w:eastAsia="Yu Gothic"/>
        </w:rPr>
        <w:t>2.4　森林浴：実際の多感覚環境による回復の深化</w:t>
      </w:r>
    </w:p>
    <w:p>
      <w:pPr>
        <w:spacing w:line="331" w:lineRule="auto" w:after="120"/>
        <w:ind w:firstLine="408"/>
        <w:jc w:val="both"/>
      </w:pPr>
      <w:r>
        <w:rPr>
          <w:rFonts w:ascii="Yu Mincho" w:hAnsi="Yu Mincho" w:eastAsia="Yu Mincho"/>
        </w:rPr>
        <w:t>森林の力は、一つの刺激ではなく、多様な環境情報が同じ場所に同時に存在することから生まれる。樹木と木漏れ日が視覚的な奥行きをつくり、風、水、鳥、昆虫が音風景をつくる。葉、樹脂、土壌、落葉、菌類および微生物は、その土地と季節に固有の香りをつくる。気温、湿度、気流、地形、歩行による身体感覚も同時に働く。森林医学では、これらを相互に関係する環境全体として捉える[3,85]。</w:t>
      </w:r>
    </w:p>
    <w:p>
      <w:pPr>
        <w:spacing w:line="331" w:lineRule="auto" w:after="120"/>
        <w:ind w:firstLine="408"/>
        <w:jc w:val="both"/>
      </w:pPr>
      <w:r>
        <w:rPr>
          <w:rFonts w:ascii="Yu Mincho" w:hAnsi="Yu Mincho" w:eastAsia="Yu Mincho"/>
        </w:rPr>
        <w:t>森林の視覚環境は、都市の視覚環境と比べて、判断を迫る情報が少ない。都市では、文字、交通、電子画面、他者の動きに注意を配り続ける必要がある。森林では、視線を樹冠、空、枝葉の揺れ、水面、木肌、光と影の移ろいへ自然に移すことができる。日本24か所の森林におけるフィールド実験や森林・都市比較研究では、心拍数、血圧、心拍変動および唾液中コルチゾールの差が観察されている[4,89]。レビューおよびメタ解析も、森林接触と短期的な心理回復、ストレス関連ホルモン、心血管反応との関連を示している[5-8,48-53,76-78]。</w:t>
      </w:r>
    </w:p>
    <w:p>
      <w:pPr>
        <w:spacing w:line="331" w:lineRule="auto" w:after="120"/>
        <w:ind w:firstLine="408"/>
        <w:jc w:val="both"/>
      </w:pPr>
      <w:r>
        <w:rPr>
          <w:rFonts w:ascii="Yu Mincho" w:hAnsi="Yu Mincho" w:eastAsia="Yu Mincho"/>
        </w:rPr>
        <w:t>重要なのは、緑を見ることだけではなく、情報処理の仕方が変わることである。枝葉の重なりや光の揺らぎは、視線を一か所に固定することも、遠くへ移すことも許す。明確な課題をこなす必要がないため、過度に使われていた注意機能が休まり、呼吸と歩行のテンポへ意識を戻しやすくなる。</w:t>
      </w:r>
    </w:p>
    <w:p>
      <w:pPr>
        <w:spacing w:line="331" w:lineRule="auto" w:after="120"/>
        <w:ind w:firstLine="408"/>
        <w:jc w:val="both"/>
      </w:pPr>
      <w:r>
        <w:rPr>
          <w:rFonts w:ascii="Yu Mincho" w:hAnsi="Yu Mincho" w:eastAsia="Yu Mincho"/>
        </w:rPr>
        <w:t>森林の音風景も、回復を考えるうえで欠かせない。葉を揺らす風の音、水滴、沢の流れ、鳥の声、蝉や虫の音には、自然に生じる距離、方向、間、強弱および揺らぎがある。自然音研究と系統的レビューでは、人工的な騒音環境と比べて、自然音がストレス後の心理的回復を支え、一部の研究では心拍変動などの生理反応とも関連することが示されている[11-13,58-61]。</w:t>
      </w:r>
    </w:p>
    <w:p>
      <w:pPr>
        <w:spacing w:line="331" w:lineRule="auto" w:after="120"/>
        <w:ind w:firstLine="408"/>
        <w:jc w:val="both"/>
      </w:pPr>
      <w:r>
        <w:rPr>
          <w:rFonts w:ascii="Yu Mincho" w:hAnsi="Yu Mincho" w:eastAsia="Yu Mincho"/>
        </w:rPr>
        <w:t>自然音は、個人の生活史とも結びつく。蝉の声から夏休みを思い出す人、鳥の声から故郷の朝を思い出す人、雨や虫の音から家族と過ごした時間を思い出す人がいる。その記憶が安心感や親しさを伴うとき、森林浴は現在のストレスから距離を取り、自分のなかに残る安全な感覚へ戻る時間となる。同じ音でも受け止め方は人によって異なるため、初回研究では「最初に気づいた音」「身体が最も静かになった音」「思い出した場面」を短く記録する。</w:t>
      </w:r>
    </w:p>
    <w:p>
      <w:pPr>
        <w:spacing w:line="331" w:lineRule="auto" w:after="120"/>
        <w:ind w:firstLine="408"/>
        <w:jc w:val="both"/>
      </w:pPr>
      <w:r>
        <w:rPr>
          <w:rFonts w:ascii="Yu Mincho" w:hAnsi="Yu Mincho" w:eastAsia="Yu Mincho"/>
        </w:rPr>
        <w:t>香りは、さらに直接的に過去の記憶を呼び起こすことがある。樹種、土壌、水分、季節および微生物の組合せによって、森林ごとに異なる「嗅覚的特徴」が形成される。香りによって喚起される自伝的記憶は、情緒性と臨場感が高いことが報告されている[14,15,62]。森林の香りは、現在の環境を感じる刺激であると同時に、故郷、季節、家族および幼少期の安心感へつながる入口でもある。</w:t>
      </w:r>
    </w:p>
    <w:p>
      <w:pPr>
        <w:spacing w:line="331" w:lineRule="auto" w:after="120"/>
        <w:ind w:firstLine="408"/>
        <w:jc w:val="both"/>
      </w:pPr>
      <w:r>
        <w:rPr>
          <w:rFonts w:ascii="Yu Mincho" w:hAnsi="Yu Mincho" w:eastAsia="Yu Mincho"/>
        </w:rPr>
        <w:t>針葉樹林の樹脂、広葉樹林の落葉と土、雨上がりの湿った植物と微生物の香りは、それぞれ異なる場所の印象をつくる。樹種、天候、湿度および参加者自身の言葉を記録しておけば、将来的に森林ルートごとの特性を比較できる。特定の香りと長い回復時間が繰り返し対応する場合には、次の研究段階で主要な揮発成分を測定することが可能になる。</w:t>
      </w:r>
    </w:p>
    <w:p>
      <w:pPr>
        <w:spacing w:line="331" w:lineRule="auto" w:after="120"/>
        <w:ind w:firstLine="408"/>
        <w:jc w:val="both"/>
      </w:pPr>
      <w:r>
        <w:rPr>
          <w:rFonts w:ascii="Yu Mincho" w:hAnsi="Yu Mincho" w:eastAsia="Yu Mincho"/>
        </w:rPr>
        <w:t>樹木が放出する植物由来揮発性有機化合物は、森林環境の化学的要素として測定できる。α-ピネン、β-ピネン、リモネンなどのテルペン類は、森林の香りと健康との関係を検討する研究で取り上げられてきた[10]。森林滞在および植物由来揮発性成分への曝露研究では、ナチュラルキラー（NK）細胞の活性、細胞数および関連タンパク質の変化が報告されている[9,38,54-57]。2026年のヒノキ精油を用いた無作為化クロスオーバー研究は、森林由来の香気成分を、用量、対照条件および前後評価を明確にした臨床研究へ組み込めることを示した[88]。これらは、本モデルを免疫関連指標へ発展させる際の方法的な手がかりとなる。</w:t>
      </w:r>
    </w:p>
    <w:p>
      <w:pPr>
        <w:spacing w:line="331" w:lineRule="auto" w:after="120"/>
        <w:ind w:firstLine="408"/>
        <w:jc w:val="both"/>
      </w:pPr>
      <w:r>
        <w:rPr>
          <w:rFonts w:ascii="Yu Mincho" w:hAnsi="Yu Mincho" w:eastAsia="Yu Mincho"/>
        </w:rPr>
        <w:t>森林、水辺、滝周辺では、空気負イオン、温度、湿度、風速、粒子状物質が場所と天候によって変化する。空気イオン研究では、濃度、曝露時間および条件を明示することの重要性が指摘されている[45,68,69]。初回研究では、天候、温湿度、ルート、主要樹種、目立った音風景、香りの印象を記録する。空気イオン、揮発性有機化合物、音圧および照度は、次段階の環境測定項目とする。</w:t>
      </w:r>
    </w:p>
    <w:p>
      <w:pPr>
        <w:spacing w:line="331" w:lineRule="auto" w:after="120"/>
        <w:ind w:firstLine="408"/>
        <w:jc w:val="both"/>
      </w:pPr>
      <w:r>
        <w:rPr>
          <w:rFonts w:ascii="Yu Mincho" w:hAnsi="Yu Mincho" w:eastAsia="Yu Mincho"/>
        </w:rPr>
        <w:t>実際の森林では、身体そのものが環境の一部となる。ゆっくり歩くこと、坂や地面に合わせて姿勢を変えること、風や湿度を皮膚で感じることによって、視覚、聴覚、嗅覚および固有感覚が同時に働く。実自然と室内・デジタル自然を比較した研究では、いずれも回復に関わる一方、実自然は気候、地形および生命活動を含む、より厚みのある体験を提供することが示されている[64,79,81,82]。この点に、森林浴を本モデルの中核に置く理由がある。</w:t>
      </w:r>
    </w:p>
    <w:p>
      <w:pPr>
        <w:spacing w:line="331" w:lineRule="auto" w:after="120"/>
        <w:ind w:firstLine="408"/>
        <w:jc w:val="both"/>
      </w:pPr>
      <w:r>
        <w:rPr>
          <w:rFonts w:ascii="Yu Mincho" w:hAnsi="Yu Mincho" w:eastAsia="Yu Mincho"/>
        </w:rPr>
        <w:t>本研究の森林浴は、運動量を増やすことを主目的とする健歩とは異なる。歩行速度は会話ができる程度に保ち、立ち止まって聞く、香りを感じる、木肌に触れる、風と湿度を受け取る、静かに座るといった活動を組み合わせる。身体負荷を穏やかに保つことで、多感覚環境そのものと回復との関係を観察しやすくする。</w:t>
      </w:r>
    </w:p>
    <w:p>
      <w:pPr>
        <w:pStyle w:val="Heading2"/>
      </w:pPr>
      <w:r>
        <w:rPr>
          <w:rFonts w:ascii="Yu Gothic" w:hAnsi="Yu Gothic" w:eastAsia="Yu Gothic"/>
        </w:rPr>
        <w:t>2.5　温泉浴：水熱環境、泉質および休養による回復支援</w:t>
      </w:r>
    </w:p>
    <w:p>
      <w:pPr>
        <w:spacing w:line="331" w:lineRule="auto" w:after="120"/>
        <w:ind w:firstLine="408"/>
        <w:jc w:val="both"/>
      </w:pPr>
      <w:r>
        <w:rPr>
          <w:rFonts w:ascii="Yu Mincho" w:hAnsi="Yu Mincho" w:eastAsia="Yu Mincho"/>
        </w:rPr>
        <w:t>温泉浴は、温熱、浮力、静水圧、泉質、周囲の環境および浴後の休息から成り立つ。バルネオセラピーとコルチゾールに関する系統的レビュー、入浴を用いた無作為化介入研究、日本における温泉浴習慣の研究は、温熱浴とストレス、疲労、睡眠および心理状態との関連を示している[21-25,70,71]。ヒノキ浴槽を用いた自己比較研究でも、感情尺度、疲労感、唾液中コルチゾールおよび副交感神経関連指標の変化が報告されており、森林由来素材と温熱環境を結びつける知見となっている[91]。</w:t>
      </w:r>
    </w:p>
    <w:p>
      <w:pPr>
        <w:spacing w:line="331" w:lineRule="auto" w:after="120"/>
        <w:ind w:firstLine="408"/>
        <w:jc w:val="both"/>
      </w:pPr>
      <w:r>
        <w:rPr>
          <w:rFonts w:ascii="Yu Mincho" w:hAnsi="Yu Mincho" w:eastAsia="Yu Mincho"/>
        </w:rPr>
        <w:t>温泉の第一の特徴は水の物理作用にある。適度な温熱は皮膚温と皮膚血流に関わり、浮力は身体の負担感を軽くし、静水圧は入浴中の身体感覚を変える。浴後の休息は、活動状態から睡眠準備へ移る過程を支える。第二の特徴は泉質である。環境省は、温度、含有物質および化学的特性に基づいて温泉と療養泉を分類し、ナトリウム、カルシウム、マグネシウム、塩化物イオン、炭酸水素イオン、硫酸イオン、遊離二酸化炭素、鉄、硫化物、メタケイ酸などを分析項目として示している[83,84]。</w:t>
      </w:r>
    </w:p>
    <w:p>
      <w:pPr>
        <w:spacing w:line="331" w:lineRule="auto" w:after="120"/>
        <w:ind w:firstLine="408"/>
        <w:jc w:val="both"/>
      </w:pPr>
      <w:r>
        <w:rPr>
          <w:rFonts w:ascii="Yu Mincho" w:hAnsi="Yu Mincho" w:eastAsia="Yu Mincho"/>
        </w:rPr>
        <w:t>初回研究では、組合せ経路の差を見やすくするため、同一の温泉施設を使用する。施設が掲示する温泉分析書から泉質、主要成分、pH、泉温を記録し、実際の湯温、入浴時間、温まり感および快適感を各セッションで残す。研究規模を拡大する段階では、水温と入浴時間をそろえたうえで泉質の異なる温泉を比較し、成分と回復感、睡眠、皮膚感覚との関係を検討できる。</w:t>
      </w:r>
    </w:p>
    <w:p>
      <w:pPr>
        <w:spacing w:line="331" w:lineRule="auto" w:after="120"/>
        <w:ind w:firstLine="408"/>
        <w:jc w:val="both"/>
      </w:pPr>
      <w:r>
        <w:rPr>
          <w:rFonts w:ascii="Yu Mincho" w:hAnsi="Yu Mincho" w:eastAsia="Yu Mincho"/>
        </w:rPr>
        <w:t>森林浴後に温泉へ移ると、風、光、音、香りおよび歩行から、水熱、浮力、静けさおよび休息へと環境が自然に切り替わる。温泉は、森林で深まった多感覚体験を、身体の内側へ落ち着かせる役割を担う。</w:t>
      </w:r>
    </w:p>
    <w:p>
      <w:pPr>
        <w:pStyle w:val="Heading2"/>
      </w:pPr>
      <w:r>
        <w:rPr>
          <w:rFonts w:ascii="Yu Gothic" w:hAnsi="Yu Gothic" w:eastAsia="Yu Gothic"/>
        </w:rPr>
        <w:t>2.6　自然環境場と検証可能な測定経路</w:t>
      </w:r>
    </w:p>
    <w:p>
      <w:pPr>
        <w:spacing w:line="331" w:lineRule="auto" w:after="120"/>
        <w:ind w:firstLine="408"/>
        <w:jc w:val="both"/>
      </w:pPr>
      <w:r>
        <w:rPr>
          <w:rFonts w:ascii="Yu Mincho" w:hAnsi="Yu Mincho" w:eastAsia="Yu Mincho"/>
        </w:rPr>
        <w:t>筆者が実践のなかで「自然のエネルギー」と感じてきたものは、実際の自然環境に同時に存在する光、音、風、温度、湿度、空気、水、植物由来揮発性成分、地形および生命活動の総体である。本稿では、この総合的な経験を研究へ導入するため、操作的概念として「自然環境場」を用いる。すなわち、同一の時間と場所において、人体が視覚、聴覚、嗅覚、皮膚感覚、呼吸および固有感覚を通して受け取る複合的な環境情報である。</w:t>
      </w:r>
    </w:p>
    <w:p>
      <w:pPr>
        <w:spacing w:line="331" w:lineRule="auto" w:after="120"/>
        <w:ind w:firstLine="408"/>
        <w:jc w:val="both"/>
      </w:pPr>
      <w:r>
        <w:rPr>
          <w:rFonts w:ascii="Yu Mincho" w:hAnsi="Yu Mincho" w:eastAsia="Yu Mincho"/>
        </w:rPr>
        <w:t>自然環境場は、環境側と人体側の両方から段階的に測定できる。環境側では、照度、音圧、温湿度、風速、空気負イオン、植物由来揮発性成分および磁束密度を記録する。人体側では、主観的ストレス、心拍変動、呼吸、睡眠、脳波および身体感覚を記録する。電磁環境を扱う場合は、周波数、強度、距離および曝露時間を明示し、磁場を単位と条件をもつ環境変数として扱う[46]。</w:t>
      </w:r>
    </w:p>
    <w:p>
      <w:pPr>
        <w:spacing w:line="331" w:lineRule="auto" w:after="120"/>
        <w:ind w:firstLine="408"/>
        <w:jc w:val="both"/>
      </w:pPr>
      <w:r>
        <w:rPr>
          <w:rFonts w:ascii="Yu Mincho" w:hAnsi="Yu Mincho" w:eastAsia="Yu Mincho"/>
        </w:rPr>
        <w:t>森林と温泉地は、地球磁場と地域固有の地質環境のなかに存在する。筆者は、静けさ、瞑想、施術者の状態、参加者の身体感覚がつくる「場」に実践上の重要性を感じてきた。今後は、磁束密度、背景電磁周波数、測定位置および時間を記録し、主観的安定感、心拍変動および脳波活動と同時に観察することで、環境物理要因と多感覚体験との関係を段階的に検討できる。</w:t>
      </w:r>
    </w:p>
    <w:p>
      <w:pPr>
        <w:spacing w:line="331" w:lineRule="auto" w:after="120"/>
        <w:ind w:firstLine="408"/>
        <w:jc w:val="both"/>
      </w:pPr>
      <w:r>
        <w:rPr>
          <w:rFonts w:ascii="Yu Mincho" w:hAnsi="Yu Mincho" w:eastAsia="Yu Mincho"/>
        </w:rPr>
        <w:t>施術者の状態も、本モデルの環境要素の一つである。SPAトリートメントには人と人との相互作用があり、施術者の動きが安定しているか、呼吸が落ち着いているか、リズムが途切れないかが、利用者の安全感と快適感に関わる。将来の研究では、施術者が短時間の瞑想または呼吸調整を行う前後で、施術リズム、双方の心拍変動および参加者のストレス変化を記録し、「環境と施術者の状態がともに回復の場をつくる」という実践仮説を検討する。</w:t>
      </w:r>
    </w:p>
    <w:p>
      <w:pPr>
        <w:spacing w:line="331" w:lineRule="auto" w:after="120"/>
        <w:ind w:firstLine="408"/>
        <w:jc w:val="both"/>
      </w:pPr>
      <w:r>
        <w:rPr>
          <w:rFonts w:ascii="Yu Mincho" w:hAnsi="Yu Mincho" w:eastAsia="Yu Mincho"/>
        </w:rPr>
        <w:t>自然映像、自然のなかでの歩行、都市緑地活動とα波を含む脳波パターンとの関係は、すでに複数の研究で検討されている[47,65-67]。長期的なストレスとテロメア長、テロメラーゼ活性およびテロメア短縮速度との関係についても研究が蓄積されている[72-75]。本稿では、第一段階で回復曲線と持続時間を明らかにし、第二段階で心拍変動、コルチゾールおよびPOMS2を加え、長期的には免疫、炎症、脳波、酸化ストレス、テロメアおよび環境物理指標へ進む研究順序を採用する。</w:t>
      </w:r>
    </w:p>
    <w:p>
      <w:pPr>
        <w:pStyle w:val="Heading2"/>
      </w:pPr>
      <w:r>
        <w:rPr>
          <w:rFonts w:ascii="Yu Gothic" w:hAnsi="Yu Gothic" w:eastAsia="Yu Gothic"/>
        </w:rPr>
        <w:t>2.7　継続的未病ケアモデル</w:t>
      </w:r>
    </w:p>
    <w:p>
      <w:pPr>
        <w:spacing w:line="331" w:lineRule="auto" w:after="120"/>
        <w:ind w:firstLine="408"/>
        <w:jc w:val="both"/>
      </w:pPr>
      <w:r>
        <w:rPr>
          <w:rFonts w:ascii="Yu Mincho" w:hAnsi="Yu Mincho" w:eastAsia="Yu Mincho"/>
        </w:rPr>
        <w:t>SPA、森林浴、温泉浴は、それぞれ異なる役割を担う。SPAは、管理された室内で身体が回復へ向かう入口をつくる。森林浴は、変化し続ける実際の多感覚環境に身体を置き、自然との結びつきを深める。温泉浴は、水熱環境と休息によって回復を支える。日常生活では、公園歩行、自然光、規則的な睡眠および適度な活動が、その状態を維持する。</w:t>
      </w:r>
    </w:p>
    <w:p>
      <w:pPr>
        <w:spacing w:line="331" w:lineRule="auto" w:after="120"/>
        <w:ind w:firstLine="408"/>
        <w:jc w:val="both"/>
      </w:pPr>
      <w:r>
        <w:rPr>
          <w:rFonts w:ascii="Yu Mincho" w:hAnsi="Yu Mincho" w:eastAsia="Yu Mincho"/>
        </w:rPr>
        <w:t>本モデルは、次の流れにまとめられる。</w:t>
      </w:r>
    </w:p>
    <w:p>
      <w:pPr>
        <w:ind w:left="454" w:right="283"/>
      </w:pPr>
      <w:r>
        <w:rPr>
          <w:rFonts w:ascii="Yu Mincho" w:hAnsi="Yu Mincho" w:eastAsia="Yu Mincho"/>
        </w:rPr>
        <w:t>SPAで回復への切替えを促す―森林浴で実際の自然環境との結びつきを深める―温泉浴で身体回復を支える―日常的な自然接触で回復のリズムを保つ。</w:t>
      </w:r>
    </w:p>
    <w:p>
      <w:pPr>
        <w:spacing w:line="331" w:lineRule="auto" w:after="120"/>
        <w:ind w:firstLine="408"/>
        <w:jc w:val="both"/>
      </w:pPr>
      <w:r>
        <w:rPr>
          <w:rFonts w:ascii="Yu Mincho" w:hAnsi="Yu Mincho" w:eastAsia="Yu Mincho"/>
        </w:rPr>
        <w:t>本研究の焦点は、この流れの時間的特徴にある。同じ人がSPAトリートメント後にどの程度の時間、軽さを保てるか。森林浴を加えると持続時間が延びるか。さらに温泉浴を加えると、より長く保てるか。そして、その段階的な延長傾向が6名の参加者に繰り返し現れるかを観察する。</w:t>
      </w:r>
    </w:p>
    <w:p>
      <w:pPr>
        <w:spacing w:line="331" w:lineRule="auto" w:after="120"/>
        <w:ind w:firstLine="408"/>
        <w:jc w:val="both"/>
      </w:pPr>
      <w:r>
        <w:rPr>
          <w:rFonts w:ascii="Yu Mincho" w:hAnsi="Yu Mincho" w:eastAsia="Yu Mincho"/>
        </w:rPr>
        <w:t>このモデルは、「ケアを受ける」状態から「自分の回復方法を知り、選べる」状態へ移る過程も含んでいる。SPAでは施術者の助けを借りて緊張と弛緩の違いを知る。森林では、参加者自身が見る、聞く、香りを感じる、呼吸する、歩くという行為を選ぶ。温泉では、静かな入浴と休息を通して身体感覚を統合する。日常では、自分の回復曲線を参考に、緑地歩行、睡眠、温熱休養および次回の施術時期を組み立てる。継続的未病ケアの目標は、本人が自分に合った回復のリズムを身につけることである。</w:t>
      </w:r>
    </w:p>
    <w:p>
      <w:pPr>
        <w:spacing w:before="160" w:after="80"/>
        <w:jc w:val="center"/>
      </w:pPr>
      <w:r>
        <w:rPr>
          <w:rFonts w:ascii="Microsoft YaHei" w:hAnsi="Microsoft YaHei" w:eastAsia="Microsoft YaHei"/>
        </w:rPr>
        <w:drawing>
          <wp:inline xmlns:a="http://schemas.openxmlformats.org/drawingml/2006/main" xmlns:pic="http://schemas.openxmlformats.org/drawingml/2006/picture">
            <wp:extent cx="5652000" cy="3260769"/>
            <wp:docPr id="1" name="Picture 1"/>
            <wp:cNvGraphicFramePr>
              <a:graphicFrameLocks noChangeAspect="1"/>
            </wp:cNvGraphicFramePr>
            <a:graphic>
              <a:graphicData uri="http://schemas.openxmlformats.org/drawingml/2006/picture">
                <pic:pic>
                  <pic:nvPicPr>
                    <pic:cNvPr id="0" name="连续性未病管理模式_中文.png"/>
                    <pic:cNvPicPr/>
                  </pic:nvPicPr>
                  <pic:blipFill>
                    <a:blip r:embed="rId102"/>
                    <a:stretch>
                      <a:fillRect/>
                    </a:stretch>
                  </pic:blipFill>
                  <pic:spPr>
                    <a:xfrm>
                      <a:off x="0" y="0"/>
                      <a:ext cx="5652000" cy="3260769"/>
                    </a:xfrm>
                    <a:prstGeom prst="rect"/>
                  </pic:spPr>
                </pic:pic>
              </a:graphicData>
            </a:graphic>
          </wp:inline>
        </w:drawing>
      </w:r>
    </w:p>
    <w:p>
      <w:pPr>
        <w:spacing w:after="160"/>
        <w:jc w:val="center"/>
      </w:pPr>
      <w:r>
        <w:rPr>
          <w:rFonts w:ascii="Yu Mincho" w:hAnsi="Yu Mincho" w:eastAsia="Yu Mincho"/>
        </w:rPr>
        <w:t>図1　SPAによる始動、森林による深化、温泉による支援、日常生活での維持からなる継続的未病ケアモデル</w:t>
      </w:r>
    </w:p>
    <w:p>
      <w:pPr>
        <w:pStyle w:val="Heading1"/>
      </w:pPr>
      <w:r>
        <w:rPr>
          <w:rFonts w:ascii="Yu Gothic" w:hAnsi="Yu Gothic" w:eastAsia="Yu Gothic"/>
        </w:rPr>
        <w:t>3．研究目的、研究課題および本稿の位置づけ</w:t>
      </w:r>
    </w:p>
    <w:p>
      <w:pPr>
        <w:spacing w:line="331" w:lineRule="auto" w:after="120"/>
        <w:ind w:firstLine="408"/>
        <w:jc w:val="both"/>
      </w:pPr>
      <w:r>
        <w:rPr>
          <w:rFonts w:ascii="Yu Mincho" w:hAnsi="Yu Mincho" w:eastAsia="Yu Mincho"/>
        </w:rPr>
        <w:t>本稿の目的は、森林の多感覚環境を中核とする継続的未病ケアモデルを構築し、同一参加者が三つの段階を順に経験するパイロット研究によって、現場検証の出発点をつくることである。</w:t>
      </w:r>
    </w:p>
    <w:p>
      <w:pPr>
        <w:spacing w:line="331" w:lineRule="auto" w:after="120"/>
        <w:ind w:firstLine="408"/>
        <w:jc w:val="both"/>
      </w:pPr>
      <w:r>
        <w:rPr>
          <w:rFonts w:ascii="Yu Mincho" w:hAnsi="Yu Mincho" w:eastAsia="Yu Mincho"/>
        </w:rPr>
        <w:t>研究課題は次の三点である。</w:t>
      </w:r>
    </w:p>
    <w:p>
      <w:pPr>
        <w:pStyle w:val="ListNumber"/>
      </w:pPr>
      <w:r>
        <w:rPr>
          <w:rFonts w:ascii="Yu Mincho" w:hAnsi="Yu Mincho" w:eastAsia="Yu Mincho"/>
        </w:rPr>
        <w:t>標準化したSPAトリートメント後のストレス低下と身体回復は、どの程度持続するか。</w:t>
      </w:r>
    </w:p>
    <w:p>
      <w:pPr>
        <w:pStyle w:val="ListNumber"/>
      </w:pPr>
      <w:r>
        <w:rPr>
          <w:rFonts w:ascii="Yu Mincho" w:hAnsi="Yu Mincho" w:eastAsia="Yu Mincho"/>
        </w:rPr>
        <w:t>SPA後に森林浴を加えると、回復の大きさと持続時間は延びるか。</w:t>
      </w:r>
    </w:p>
    <w:p>
      <w:pPr>
        <w:pStyle w:val="ListNumber"/>
      </w:pPr>
      <w:r>
        <w:rPr>
          <w:rFonts w:ascii="Yu Mincho" w:hAnsi="Yu Mincho" w:eastAsia="Yu Mincho"/>
        </w:rPr>
        <w:t>SPAと森林浴の後に温泉浴を加えると、回復状態はさらに長く保たれるか。</w:t>
      </w:r>
    </w:p>
    <w:p>
      <w:pPr>
        <w:spacing w:line="331" w:lineRule="auto" w:after="120"/>
        <w:ind w:firstLine="408"/>
        <w:jc w:val="both"/>
      </w:pPr>
      <w:r>
        <w:rPr>
          <w:rFonts w:ascii="Yu Mincho" w:hAnsi="Yu Mincho" w:eastAsia="Yu Mincho"/>
        </w:rPr>
        <w:t>研究仮説は、三つの段階のいずれにも終了直後の安堵がみられ、実際の森林と温泉浴を順に加えることで、回復持続時間が段階的に延びるというものである。研究では、各参加者がSPA段階から完全な経路へ進む連続的な推移を記録し、その傾向が6名に繰り返し現れるかを確認する。音風景、香り、歩行および温熱への感受性には個人差があるため、共通傾向と各人の特徴をともに残す。</w:t>
      </w:r>
    </w:p>
    <w:p>
      <w:pPr>
        <w:spacing w:line="331" w:lineRule="auto" w:after="120"/>
        <w:ind w:firstLine="408"/>
        <w:jc w:val="both"/>
      </w:pPr>
      <w:r>
        <w:rPr>
          <w:rFonts w:ascii="Yu Mincho" w:hAnsi="Yu Mincho" w:eastAsia="Yu Mincho"/>
        </w:rPr>
        <w:t>本研究における「協働作用」は、同一参加者の三段階にわたる連続的変化として表す。A段階ではSPA後の回復時間、B段階では森林浴を加えた後の回復時間、C段階ではさらに温泉浴を加えた後の回復時間を記録する。三回の記録を実施順に並べ、経路が整うにつれて回復状態が長く保たれるかを直接観察する。分析の基本単位は常に一人の連続的推移であり、6名の資料は、その傾向が繰り返し現れるかを確かめるために用いる。</w:t>
      </w:r>
    </w:p>
    <w:p>
      <w:pPr>
        <w:spacing w:line="331" w:lineRule="auto" w:after="120"/>
        <w:ind w:firstLine="408"/>
        <w:jc w:val="both"/>
      </w:pPr>
      <w:r>
        <w:rPr>
          <w:rFonts w:ascii="Yu Mincho" w:hAnsi="Yu Mincho" w:eastAsia="Yu Mincho"/>
        </w:rPr>
        <w:t>改善の大きさと持続時間の関係にも着目する。終了時の変化が大きくても翌日には基準状態へ戻る場合があり、変化は穏やかでも48時間後または72時間後まで残る場合がある。継続的未病ケアでは、この時間情報が日常生活における回復の安定性に直結する。そこで持続時間を主要評価項目とし、ストレス、身体緊張および回復感の推移を、持続時間がどのように形成されたかを説明する指標として用いる。</w:t>
      </w:r>
    </w:p>
    <w:p>
      <w:pPr>
        <w:spacing w:line="331" w:lineRule="auto" w:after="120"/>
        <w:ind w:firstLine="408"/>
        <w:jc w:val="both"/>
      </w:pPr>
      <w:r>
        <w:rPr>
          <w:rFonts w:ascii="Yu Mincho" w:hAnsi="Yu Mincho" w:eastAsia="Yu Mincho"/>
        </w:rPr>
        <w:t>本稿は、理論的考察と探索的研究計画から構成される。第一段階では、手順、測定負担および持続時間指標の実行可能性を確認し、連続経路の三段階に、次の研究へ進む価値のある明瞭な延長傾向が現れるかを観察する[33,34]。</w:t>
      </w:r>
    </w:p>
    <w:p>
      <w:pPr>
        <w:pStyle w:val="Heading1"/>
      </w:pPr>
      <w:r>
        <w:rPr>
          <w:rFonts w:ascii="Yu Gothic" w:hAnsi="Yu Gothic" w:eastAsia="Yu Gothic"/>
        </w:rPr>
        <w:t>4．研究方法</w:t>
      </w:r>
    </w:p>
    <w:p>
      <w:pPr>
        <w:pStyle w:val="Heading2"/>
      </w:pPr>
      <w:r>
        <w:rPr>
          <w:rFonts w:ascii="Yu Gothic" w:hAnsi="Yu Gothic" w:eastAsia="Yu Gothic"/>
        </w:rPr>
        <w:t>4.1　研究デザインと参加者</w:t>
      </w:r>
    </w:p>
    <w:p>
      <w:pPr>
        <w:spacing w:line="331" w:lineRule="auto" w:after="120"/>
        <w:ind w:firstLine="408"/>
        <w:jc w:val="both"/>
      </w:pPr>
      <w:r>
        <w:rPr>
          <w:rFonts w:ascii="Yu Mincho" w:hAnsi="Yu Mincho" w:eastAsia="Yu Mincho"/>
        </w:rPr>
        <w:t>前向き、非盲検、段階的介入による被験者内反復測定型の探索的パイロット研究を計画する。30～65歳の成人6名を募集し、全参加者がA→B→Cの順に三つの段階を各1回経験する。1人3セッション、合計18セッションとする。AはSPA段階、Bは同一のSPA後に森林浴を加える段階、Cは同一のSPAと森林浴の後に温泉浴を加える段階であり、同じ人の回復の程度と持続時間を三段階にわたり連続して観察する。</w:t>
      </w:r>
    </w:p>
    <w:p>
      <w:pPr>
        <w:spacing w:line="331" w:lineRule="auto" w:after="120"/>
        <w:ind w:firstLine="408"/>
        <w:jc w:val="both"/>
      </w:pPr>
      <w:r>
        <w:rPr>
          <w:rFonts w:ascii="Yu Mincho" w:hAnsi="Yu Mincho" w:eastAsia="Yu Mincho"/>
        </w:rPr>
        <w:t>被験者内反復測定デザインは、年齢、体質、生活習慣、ストレス反応など、個人間で大きく異なる要因の影響を抑えながら、同じ人の中で回復の大きさと持続時間を追跡できる。研究手順は、パイロット研究の考え方と非薬物介入の記述指針を参照し、実施者、場所、時間、手順および実際の完遂状況を追跡できるようにする[33,34,39,40]。本研究では、SPAから森林浴、さらに温泉浴へと実践内容を一段ずつ加える構造を、そのまま研究手順に反映する。</w:t>
      </w:r>
    </w:p>
    <w:p>
      <w:pPr>
        <w:spacing w:line="331" w:lineRule="auto" w:after="120"/>
        <w:ind w:firstLine="408"/>
        <w:jc w:val="both"/>
      </w:pPr>
      <w:r>
        <w:rPr>
          <w:rFonts w:ascii="Yu Mincho" w:hAnsi="Yu Mincho" w:eastAsia="Yu Mincho"/>
        </w:rPr>
        <w:t>参加者は、SPAトリートメント、ゆっくりした森林歩行および温泉入浴を安全に完遂でき、直近1か月の生活リズムが概ね安定している成人とする。登録前に健康質問票、基礎血圧、温熱耐受および研究説明への理解を確認し、書面による同意を得る。急性の体調変化がある場合は、該当セッションを延期する。</w:t>
      </w:r>
    </w:p>
    <w:p>
      <w:pPr>
        <w:spacing w:line="331" w:lineRule="auto" w:after="120"/>
        <w:ind w:firstLine="408"/>
        <w:jc w:val="both"/>
      </w:pPr>
      <w:r>
        <w:rPr>
          <w:rFonts w:ascii="Yu Mincho" w:hAnsi="Yu Mincho" w:eastAsia="Yu Mincho"/>
        </w:rPr>
        <w:t>対象者の基本情報として、年齢層、職業上の活動量、自然接触の頻度、SPAと温泉の経験、平均睡眠時間および本人が自覚する主な緊張部位を記録する。これらは参加者の背景を記述し、回復曲線の個人差を理解するために用いる。</w:t>
      </w:r>
    </w:p>
    <w:p>
      <w:pPr>
        <w:spacing w:line="331" w:lineRule="auto" w:after="120"/>
        <w:ind w:firstLine="408"/>
        <w:jc w:val="both"/>
      </w:pPr>
      <w:r>
        <w:rPr>
          <w:rFonts w:ascii="Yu Mincho" w:hAnsi="Yu Mincho" w:eastAsia="Yu Mincho"/>
        </w:rPr>
        <w:t>実施順序は全参加者でA→B→Cに統一する。A段階ではSPA単独後の回復曲線を記録し、B段階では森林浴を加えた後の変化、C段階ではさらに温泉浴を加えた後の変化を観察する。この固定順序は、筆頭著者の長年の実践から形成された「SPAで始動し、森林で深め、温泉で支える」という経路に対応する。隣接セッションは7日以上あけ、可能な限り同じ曜日と時間帯に行う。参加者はセッション前24時間、普段の生活を保ち、飲酒、強い運動、残業、著しい睡眠不足および大きな生活上の出来事を記録する。</w:t>
      </w:r>
    </w:p>
    <w:p>
      <w:pPr>
        <w:pStyle w:val="Heading2"/>
      </w:pPr>
      <w:r>
        <w:rPr>
          <w:rFonts w:ascii="Yu Gothic" w:hAnsi="Yu Gothic" w:eastAsia="Yu Gothic"/>
        </w:rPr>
        <w:t>4.2　三つの研究条件</w:t>
      </w:r>
    </w:p>
    <w:tbl>
      <w:tblPr>
        <w:tblStyle w:val="TableGrid"/>
        <w:tblW w:type="auto" w:w="0"/>
        <w:jc w:val="center"/>
        <w:tblLook w:firstColumn="1" w:firstRow="1" w:lastColumn="0" w:lastRow="0" w:noHBand="0" w:noVBand="1" w:val="04A0"/>
      </w:tblPr>
      <w:tblGrid>
        <w:gridCol w:w="3081"/>
        <w:gridCol w:w="3081"/>
        <w:gridCol w:w="3081"/>
      </w:tblGrid>
      <w:tr>
        <w:tc>
          <w:tcPr>
            <w:tcW w:type="dxa" w:w="3081"/>
            <w:vAlign w:val="center"/>
            <w:shd w:fill="E9F3EE"/>
          </w:tcPr>
          <w:p>
            <w:r>
              <w:rPr>
                <w:rFonts w:ascii="Yu Mincho" w:hAnsi="Yu Mincho" w:eastAsia="Yu Mincho"/>
              </w:rPr>
              <w:t>段階</w:t>
            </w:r>
          </w:p>
        </w:tc>
        <w:tc>
          <w:tcPr>
            <w:tcW w:type="dxa" w:w="3081"/>
            <w:vAlign w:val="center"/>
            <w:shd w:fill="E9F3EE"/>
          </w:tcPr>
          <w:p>
            <w:r>
              <w:rPr>
                <w:rFonts w:ascii="Yu Mincho" w:hAnsi="Yu Mincho" w:eastAsia="Yu Mincho"/>
              </w:rPr>
              <w:t>実施内容</w:t>
            </w:r>
          </w:p>
        </w:tc>
        <w:tc>
          <w:tcPr>
            <w:tcW w:type="dxa" w:w="3081"/>
            <w:vAlign w:val="center"/>
            <w:shd w:fill="E9F3EE"/>
          </w:tcPr>
          <w:p>
            <w:r>
              <w:rPr>
                <w:rFonts w:ascii="Yu Mincho" w:hAnsi="Yu Mincho" w:eastAsia="Yu Mincho"/>
              </w:rPr>
              <w:t>主な観察目的</w:t>
            </w:r>
          </w:p>
        </w:tc>
      </w:tr>
      <w:tr>
        <w:tc>
          <w:tcPr>
            <w:tcW w:type="dxa" w:w="3081"/>
            <w:vAlign w:val="center"/>
          </w:tcPr>
          <w:p>
            <w:r>
              <w:rPr>
                <w:rFonts w:ascii="Yu Mincho" w:hAnsi="Yu Mincho" w:eastAsia="Yu Mincho"/>
              </w:rPr>
              <w:t>A：SPA</w:t>
            </w:r>
          </w:p>
        </w:tc>
        <w:tc>
          <w:tcPr>
            <w:tcW w:type="dxa" w:w="3081"/>
            <w:vAlign w:val="center"/>
          </w:tcPr>
          <w:p>
            <w:r>
              <w:rPr>
                <w:rFonts w:ascii="Yu Mincho" w:hAnsi="Yu Mincho" w:eastAsia="Yu Mincho"/>
              </w:rPr>
              <w:t>標準化したSPAトリートメント60分</w:t>
            </w:r>
          </w:p>
        </w:tc>
        <w:tc>
          <w:tcPr>
            <w:tcW w:type="dxa" w:w="3081"/>
            <w:vAlign w:val="center"/>
          </w:tcPr>
          <w:p>
            <w:r>
              <w:rPr>
                <w:rFonts w:ascii="Yu Mincho" w:hAnsi="Yu Mincho" w:eastAsia="Yu Mincho"/>
              </w:rPr>
              <w:t>SPAによる始動後の即時変化と持続時間を記録する</w:t>
            </w:r>
          </w:p>
        </w:tc>
      </w:tr>
      <w:tr>
        <w:tc>
          <w:tcPr>
            <w:tcW w:type="dxa" w:w="3081"/>
            <w:vAlign w:val="center"/>
          </w:tcPr>
          <w:p>
            <w:r>
              <w:rPr>
                <w:rFonts w:ascii="Yu Mincho" w:hAnsi="Yu Mincho" w:eastAsia="Yu Mincho"/>
              </w:rPr>
              <w:t>B：SPA＋森林浴</w:t>
            </w:r>
          </w:p>
        </w:tc>
        <w:tc>
          <w:tcPr>
            <w:tcW w:type="dxa" w:w="3081"/>
            <w:vAlign w:val="center"/>
          </w:tcPr>
          <w:p>
            <w:r>
              <w:rPr>
                <w:rFonts w:ascii="Yu Mincho" w:hAnsi="Yu Mincho" w:eastAsia="Yu Mincho"/>
              </w:rPr>
              <w:t>同じSPAトリートメント60分の後、標準化した森林浴60分を行う</w:t>
            </w:r>
          </w:p>
        </w:tc>
        <w:tc>
          <w:tcPr>
            <w:tcW w:type="dxa" w:w="3081"/>
            <w:vAlign w:val="center"/>
          </w:tcPr>
          <w:p>
            <w:r>
              <w:rPr>
                <w:rFonts w:ascii="Yu Mincho" w:hAnsi="Yu Mincho" w:eastAsia="Yu Mincho"/>
              </w:rPr>
              <w:t>実際の森林を加えた後に回復状態が長く続くかを記録する</w:t>
            </w:r>
          </w:p>
        </w:tc>
      </w:tr>
      <w:tr>
        <w:tc>
          <w:tcPr>
            <w:tcW w:type="dxa" w:w="3081"/>
            <w:vAlign w:val="center"/>
          </w:tcPr>
          <w:p>
            <w:r>
              <w:rPr>
                <w:rFonts w:ascii="Yu Mincho" w:hAnsi="Yu Mincho" w:eastAsia="Yu Mincho"/>
              </w:rPr>
              <w:t>C：SPA＋森林浴＋温泉浴</w:t>
            </w:r>
          </w:p>
        </w:tc>
        <w:tc>
          <w:tcPr>
            <w:tcW w:type="dxa" w:w="3081"/>
            <w:vAlign w:val="center"/>
          </w:tcPr>
          <w:p>
            <w:r>
              <w:rPr>
                <w:rFonts w:ascii="Yu Mincho" w:hAnsi="Yu Mincho" w:eastAsia="Yu Mincho"/>
              </w:rPr>
              <w:t>同じSPAと森林浴の後、温泉浴15分と休息20分を行う</w:t>
            </w:r>
          </w:p>
        </w:tc>
        <w:tc>
          <w:tcPr>
            <w:tcW w:type="dxa" w:w="3081"/>
            <w:vAlign w:val="center"/>
          </w:tcPr>
          <w:p>
            <w:r>
              <w:rPr>
                <w:rFonts w:ascii="Yu Mincho" w:hAnsi="Yu Mincho" w:eastAsia="Yu Mincho"/>
              </w:rPr>
              <w:t>完全な経路終了後に回復状態が最終的にどの程度続くかを記録する</w:t>
            </w:r>
          </w:p>
        </w:tc>
      </w:tr>
    </w:tbl>
    <w:p/>
    <w:p>
      <w:pPr>
        <w:spacing w:line="331" w:lineRule="auto" w:after="120"/>
        <w:ind w:firstLine="408"/>
        <w:jc w:val="both"/>
      </w:pPr>
      <w:r>
        <w:rPr>
          <w:rFonts w:ascii="Yu Mincho" w:hAnsi="Yu Mincho" w:eastAsia="Yu Mincho"/>
        </w:rPr>
        <w:t>第一段階では、現場でそのまま実施できる連続ケア経路を扱う。A、B、Cはこの経路の三つの観察点であり、内容の追加に伴う総所要時間も記録する。研究が答えるのは、森林浴と温泉浴を順に加えることで回復状態が段階的に長く保たれるか、完全な経路では最終的にどの程度続くかという問いである。傾向が安定して確認された後の研究では、同時間の安静休息条件を設け、自然環境、温熱入浴および休息の寄与をさらに詳しく検討する。</w:t>
      </w:r>
    </w:p>
    <w:p>
      <w:pPr>
        <w:spacing w:line="331" w:lineRule="auto" w:after="120"/>
        <w:ind w:firstLine="408"/>
        <w:jc w:val="both"/>
      </w:pPr>
      <w:r>
        <w:rPr>
          <w:rFonts w:ascii="Yu Mincho" w:hAnsi="Yu Mincho" w:eastAsia="Yu Mincho"/>
        </w:rPr>
        <w:t>新しいセッションの開始前に、主観的ストレス、身体回復感および身体緊張感が本人の通常状態に近づいていることを確認する。前回の回復感が明確に残っている場合は次回を延期し、その日まで続いた時間を結果として残す。これにより、前回セッションの影響を抑えながら、長く続いた回復という重要な情報を失わずに済む。</w:t>
      </w:r>
    </w:p>
    <w:p>
      <w:pPr>
        <w:spacing w:line="331" w:lineRule="auto" w:after="120"/>
        <w:ind w:firstLine="408"/>
        <w:jc w:val="both"/>
      </w:pPr>
      <w:r>
        <w:rPr>
          <w:rFonts w:ascii="Yu Mincho" w:hAnsi="Yu Mincho" w:eastAsia="Yu Mincho"/>
        </w:rPr>
        <w:t>三条件はいずれも、同一のSPA室、同一の施術者、同一の基本手順から開始する。B・C条件では、SPA終了後に一定の移行時間を設け、飲水、更衣の後、同一の森林ルートへ移動する。C条件では、森林浴終了後に同一の温泉施設を利用する。交通時間、待機時間および食事状況もセッション記録に残す。</w:t>
      </w:r>
    </w:p>
    <w:p>
      <w:pPr>
        <w:spacing w:line="331" w:lineRule="auto" w:after="120"/>
        <w:ind w:firstLine="408"/>
        <w:jc w:val="both"/>
      </w:pPr>
      <w:r>
        <w:rPr>
          <w:rFonts w:ascii="Yu Mincho" w:hAnsi="Yu Mincho" w:eastAsia="Yu Mincho"/>
        </w:rPr>
        <w:t>各セッション終了時には、参加者が先に独立して評価票へ記入し、その後、①身体の最も明確な変化、②最も役立った段階、③この軽さがどの程度続きそうか、という三点について短い聞き取りを行う。評価前に組合せ条件への期待を誘導する説明は行わず、24時間以降はスマートフォンによる短時間記録とする。</w:t>
      </w:r>
    </w:p>
    <w:p>
      <w:pPr>
        <w:pStyle w:val="Heading2"/>
      </w:pPr>
      <w:r>
        <w:rPr>
          <w:rFonts w:ascii="Yu Gothic" w:hAnsi="Yu Gothic" w:eastAsia="Yu Gothic"/>
        </w:rPr>
        <w:t>4.3　介入の標準化</w:t>
      </w:r>
    </w:p>
    <w:p>
      <w:pPr>
        <w:spacing w:line="331" w:lineRule="auto" w:after="120"/>
        <w:ind w:firstLine="408"/>
        <w:jc w:val="both"/>
      </w:pPr>
      <w:r>
        <w:rPr>
          <w:rFonts w:ascii="Yu Mincho" w:hAnsi="Yu Mincho" w:eastAsia="Yu Mincho"/>
        </w:rPr>
        <w:t>SPAトリートメントは、一定の実践経験をもつ同一施術者が行う。室温、湿度、照度、音、芳香、使用オイルおよびベッド条件をそろえる。基本手順は、入室後の呼吸調整、頭頸部・肩背部・四肢への触覚ケア、経穴周辺への適度な圧と弛緩、全身のリズム調整、終了前の安静臥床から構成する。施術者は、実施部位、触圧レベル、時間、参加者の反応および当日の調整を記録する。</w:t>
      </w:r>
    </w:p>
    <w:p>
      <w:pPr>
        <w:spacing w:line="331" w:lineRule="auto" w:after="120"/>
        <w:ind w:firstLine="408"/>
        <w:jc w:val="both"/>
      </w:pPr>
      <w:r>
        <w:rPr>
          <w:rFonts w:ascii="Yu Mincho" w:hAnsi="Yu Mincho" w:eastAsia="Yu Mincho"/>
        </w:rPr>
        <w:t>標準化は、施術を一律の機械的動作へ変えるためではなく、再現可能な専門ケアとして記述するために行う。主要手順、総時間、対象部位および圧の範囲をそろえたうえで、当日の緊張部位に応じた微調整を許容し、すべての変更を同一の記録票に残す。</w:t>
      </w:r>
    </w:p>
    <w:p>
      <w:pPr>
        <w:spacing w:line="331" w:lineRule="auto" w:after="120"/>
        <w:ind w:firstLine="408"/>
        <w:jc w:val="both"/>
      </w:pPr>
      <w:r>
        <w:rPr>
          <w:rFonts w:ascii="Yu Mincho" w:hAnsi="Yu Mincho" w:eastAsia="Yu Mincho"/>
        </w:rPr>
        <w:t>森林浴は、同一の安全なルートで60分間行う。運動強度は自然な会話が可能な水準とし、ゆっくりした歩行、静かな聴取、視覚観察、香りの体験、座位休息および軽いストレッチを組み合わせる。スマートフォンは研究記録以外の通知を停止する。研究者は、ルート、天候、気温、湿度、主要樹種、目立った音風景および参加者が感じた香りを記録する。</w:t>
      </w:r>
    </w:p>
    <w:p>
      <w:pPr>
        <w:spacing w:line="331" w:lineRule="auto" w:after="120"/>
        <w:ind w:firstLine="408"/>
        <w:jc w:val="both"/>
      </w:pPr>
      <w:r>
        <w:rPr>
          <w:rFonts w:ascii="Yu Mincho" w:hAnsi="Yu Mincho" w:eastAsia="Yu Mincho"/>
        </w:rPr>
        <w:t>60分の森林浴は、四つの15分区間で構成する。第1区間では歩調を落として環境へなじみ、第2区間では樹木、空、光と影へ注意を向ける。第3区間では音と香りを受け取り、第4区間では静かに座り、呼吸と軽いストレッチを行う。案内は簡潔にし、説明そのものが新たな情報負荷とならないようにする。各区間の終了時に、参加者はその時点で最も強く感じたことを一語で記録する。</w:t>
      </w:r>
    </w:p>
    <w:p>
      <w:pPr>
        <w:spacing w:line="331" w:lineRule="auto" w:after="120"/>
        <w:ind w:firstLine="408"/>
        <w:jc w:val="both"/>
      </w:pPr>
      <w:r>
        <w:rPr>
          <w:rFonts w:ascii="Yu Mincho" w:hAnsi="Yu Mincho" w:eastAsia="Yu Mincho"/>
        </w:rPr>
        <w:t>温泉浴は同一施設で行う。施設掲示の温泉分析書から泉質、主要成分、pHおよび源泉温度を記録する。実際の湯温は39～40℃、入浴時間は15分とし、入浴前後に水分を補給し、出浴後は20分間安静に休む。入浴前、出浴直後および休息終了時に、温まり感、身体の軽さ、快適感および眠気を簡潔に記録する。</w:t>
      </w:r>
    </w:p>
    <w:p>
      <w:pPr>
        <w:spacing w:line="331" w:lineRule="auto" w:after="120"/>
        <w:ind w:firstLine="408"/>
        <w:jc w:val="both"/>
      </w:pPr>
      <w:r>
        <w:rPr>
          <w:rFonts w:ascii="Yu Mincho" w:hAnsi="Yu Mincho" w:eastAsia="Yu Mincho"/>
        </w:rPr>
        <w:t>温泉段階では、「森林浴後の回復がさらに続くか」を観察する。参加者は入浴前、出浴直後、休息終了時に、温まり感、身体の軽さおよび眠気を記録する。この短い段階内評価により、変化が主に入浴中に生じたのか、浴後の静かな休息中に生じたのかを把握し、今後の湯温、時間および休息方法の調整に役立てる。</w:t>
      </w:r>
    </w:p>
    <w:p>
      <w:pPr>
        <w:pStyle w:val="Heading2"/>
      </w:pPr>
      <w:r>
        <w:rPr>
          <w:rFonts w:ascii="Yu Gothic" w:hAnsi="Yu Gothic" w:eastAsia="Yu Gothic"/>
        </w:rPr>
        <w:t>4.4　評価時点と評価項目</w:t>
      </w:r>
    </w:p>
    <w:tbl>
      <w:tblPr>
        <w:tblStyle w:val="TableGrid"/>
        <w:tblW w:type="auto" w:w="0"/>
        <w:jc w:val="center"/>
        <w:tblLook w:firstColumn="1" w:firstRow="1" w:lastColumn="0" w:lastRow="0" w:noHBand="0" w:noVBand="1" w:val="04A0"/>
      </w:tblPr>
      <w:tblGrid>
        <w:gridCol w:w="3081"/>
        <w:gridCol w:w="3081"/>
        <w:gridCol w:w="3081"/>
      </w:tblGrid>
      <w:tr>
        <w:tc>
          <w:tcPr>
            <w:tcW w:type="dxa" w:w="3081"/>
            <w:vAlign w:val="center"/>
            <w:shd w:fill="E9F3EE"/>
          </w:tcPr>
          <w:p>
            <w:r>
              <w:rPr>
                <w:rFonts w:ascii="Yu Mincho" w:hAnsi="Yu Mincho" w:eastAsia="Yu Mincho"/>
              </w:rPr>
              <w:t>時点</w:t>
            </w:r>
          </w:p>
        </w:tc>
        <w:tc>
          <w:tcPr>
            <w:tcW w:type="dxa" w:w="3081"/>
            <w:vAlign w:val="center"/>
            <w:shd w:fill="E9F3EE"/>
          </w:tcPr>
          <w:p>
            <w:r>
              <w:rPr>
                <w:rFonts w:ascii="Yu Mincho" w:hAnsi="Yu Mincho" w:eastAsia="Yu Mincho"/>
              </w:rPr>
              <w:t>段階</w:t>
            </w:r>
          </w:p>
        </w:tc>
        <w:tc>
          <w:tcPr>
            <w:tcW w:type="dxa" w:w="3081"/>
            <w:vAlign w:val="center"/>
            <w:shd w:fill="E9F3EE"/>
          </w:tcPr>
          <w:p>
            <w:r>
              <w:rPr>
                <w:rFonts w:ascii="Yu Mincho" w:hAnsi="Yu Mincho" w:eastAsia="Yu Mincho"/>
              </w:rPr>
              <w:t>評価内容</w:t>
            </w:r>
          </w:p>
        </w:tc>
      </w:tr>
      <w:tr>
        <w:tc>
          <w:tcPr>
            <w:tcW w:type="dxa" w:w="3081"/>
            <w:vAlign w:val="center"/>
          </w:tcPr>
          <w:p>
            <w:r>
              <w:rPr>
                <w:rFonts w:ascii="Yu Mincho" w:hAnsi="Yu Mincho" w:eastAsia="Yu Mincho"/>
              </w:rPr>
              <w:t>T0</w:t>
            </w:r>
          </w:p>
        </w:tc>
        <w:tc>
          <w:tcPr>
            <w:tcW w:type="dxa" w:w="3081"/>
            <w:vAlign w:val="center"/>
          </w:tcPr>
          <w:p>
            <w:r>
              <w:rPr>
                <w:rFonts w:ascii="Yu Mincho" w:hAnsi="Yu Mincho" w:eastAsia="Yu Mincho"/>
              </w:rPr>
              <w:t>介入前</w:t>
            </w:r>
          </w:p>
        </w:tc>
        <w:tc>
          <w:tcPr>
            <w:tcW w:type="dxa" w:w="3081"/>
            <w:vAlign w:val="center"/>
          </w:tcPr>
          <w:p>
            <w:r>
              <w:rPr>
                <w:rFonts w:ascii="Yu Mincho" w:hAnsi="Yu Mincho" w:eastAsia="Yu Mincho"/>
              </w:rPr>
              <w:t>ストレス、身体回復感、身体緊張感、前夜の睡眠、当日の特記事項</w:t>
            </w:r>
          </w:p>
        </w:tc>
      </w:tr>
      <w:tr>
        <w:tc>
          <w:tcPr>
            <w:tcW w:type="dxa" w:w="3081"/>
            <w:vAlign w:val="center"/>
          </w:tcPr>
          <w:p>
            <w:r>
              <w:rPr>
                <w:rFonts w:ascii="Yu Mincho" w:hAnsi="Yu Mincho" w:eastAsia="Yu Mincho"/>
              </w:rPr>
              <w:t>T1</w:t>
            </w:r>
          </w:p>
        </w:tc>
        <w:tc>
          <w:tcPr>
            <w:tcW w:type="dxa" w:w="3081"/>
            <w:vAlign w:val="center"/>
          </w:tcPr>
          <w:p>
            <w:r>
              <w:rPr>
                <w:rFonts w:ascii="Yu Mincho" w:hAnsi="Yu Mincho" w:eastAsia="Yu Mincho"/>
              </w:rPr>
              <w:t>一連のプログラム終了後</w:t>
            </w:r>
          </w:p>
        </w:tc>
        <w:tc>
          <w:tcPr>
            <w:tcW w:type="dxa" w:w="3081"/>
            <w:vAlign w:val="center"/>
          </w:tcPr>
          <w:p>
            <w:r>
              <w:rPr>
                <w:rFonts w:ascii="Yu Mincho" w:hAnsi="Yu Mincho" w:eastAsia="Yu Mincho"/>
              </w:rPr>
              <w:t>ストレス、身体回復感、身体緊張感</w:t>
            </w:r>
          </w:p>
        </w:tc>
      </w:tr>
      <w:tr>
        <w:tc>
          <w:tcPr>
            <w:tcW w:type="dxa" w:w="3081"/>
            <w:vAlign w:val="center"/>
          </w:tcPr>
          <w:p>
            <w:r>
              <w:rPr>
                <w:rFonts w:ascii="Yu Mincho" w:hAnsi="Yu Mincho" w:eastAsia="Yu Mincho"/>
              </w:rPr>
              <w:t>T2</w:t>
            </w:r>
          </w:p>
        </w:tc>
        <w:tc>
          <w:tcPr>
            <w:tcW w:type="dxa" w:w="3081"/>
            <w:vAlign w:val="center"/>
          </w:tcPr>
          <w:p>
            <w:r>
              <w:rPr>
                <w:rFonts w:ascii="Yu Mincho" w:hAnsi="Yu Mincho" w:eastAsia="Yu Mincho"/>
              </w:rPr>
              <w:t>24時間後</w:t>
            </w:r>
          </w:p>
        </w:tc>
        <w:tc>
          <w:tcPr>
            <w:tcW w:type="dxa" w:w="3081"/>
            <w:vAlign w:val="center"/>
          </w:tcPr>
          <w:p>
            <w:r>
              <w:rPr>
                <w:rFonts w:ascii="Yu Mincho" w:hAnsi="Yu Mincho" w:eastAsia="Yu Mincho"/>
              </w:rPr>
              <w:t>三項目、回復感が明確に残るか、睡眠回復感</w:t>
            </w:r>
          </w:p>
        </w:tc>
      </w:tr>
      <w:tr>
        <w:tc>
          <w:tcPr>
            <w:tcW w:type="dxa" w:w="3081"/>
            <w:vAlign w:val="center"/>
          </w:tcPr>
          <w:p>
            <w:r>
              <w:rPr>
                <w:rFonts w:ascii="Yu Mincho" w:hAnsi="Yu Mincho" w:eastAsia="Yu Mincho"/>
              </w:rPr>
              <w:t>T3</w:t>
            </w:r>
          </w:p>
        </w:tc>
        <w:tc>
          <w:tcPr>
            <w:tcW w:type="dxa" w:w="3081"/>
            <w:vAlign w:val="center"/>
          </w:tcPr>
          <w:p>
            <w:r>
              <w:rPr>
                <w:rFonts w:ascii="Yu Mincho" w:hAnsi="Yu Mincho" w:eastAsia="Yu Mincho"/>
              </w:rPr>
              <w:t>48時間後</w:t>
            </w:r>
          </w:p>
        </w:tc>
        <w:tc>
          <w:tcPr>
            <w:tcW w:type="dxa" w:w="3081"/>
            <w:vAlign w:val="center"/>
          </w:tcPr>
          <w:p>
            <w:r>
              <w:rPr>
                <w:rFonts w:ascii="Yu Mincho" w:hAnsi="Yu Mincho" w:eastAsia="Yu Mincho"/>
              </w:rPr>
              <w:t>三項目、回復感が明確に残るか</w:t>
            </w:r>
          </w:p>
        </w:tc>
      </w:tr>
      <w:tr>
        <w:tc>
          <w:tcPr>
            <w:tcW w:type="dxa" w:w="3081"/>
            <w:vAlign w:val="center"/>
          </w:tcPr>
          <w:p>
            <w:r>
              <w:rPr>
                <w:rFonts w:ascii="Yu Mincho" w:hAnsi="Yu Mincho" w:eastAsia="Yu Mincho"/>
              </w:rPr>
              <w:t>T4</w:t>
            </w:r>
          </w:p>
        </w:tc>
        <w:tc>
          <w:tcPr>
            <w:tcW w:type="dxa" w:w="3081"/>
            <w:vAlign w:val="center"/>
          </w:tcPr>
          <w:p>
            <w:r>
              <w:rPr>
                <w:rFonts w:ascii="Yu Mincho" w:hAnsi="Yu Mincho" w:eastAsia="Yu Mincho"/>
              </w:rPr>
              <w:t>72時間後</w:t>
            </w:r>
          </w:p>
        </w:tc>
        <w:tc>
          <w:tcPr>
            <w:tcW w:type="dxa" w:w="3081"/>
            <w:vAlign w:val="center"/>
          </w:tcPr>
          <w:p>
            <w:r>
              <w:rPr>
                <w:rFonts w:ascii="Yu Mincho" w:hAnsi="Yu Mincho" w:eastAsia="Yu Mincho"/>
              </w:rPr>
              <w:t>三項目、回復感が明確に残るか</w:t>
            </w:r>
          </w:p>
        </w:tc>
      </w:tr>
      <w:tr>
        <w:tc>
          <w:tcPr>
            <w:tcW w:type="dxa" w:w="3081"/>
            <w:vAlign w:val="center"/>
          </w:tcPr>
          <w:p>
            <w:r>
              <w:rPr>
                <w:rFonts w:ascii="Yu Mincho" w:hAnsi="Yu Mincho" w:eastAsia="Yu Mincho"/>
              </w:rPr>
              <w:t>T5</w:t>
            </w:r>
          </w:p>
        </w:tc>
        <w:tc>
          <w:tcPr>
            <w:tcW w:type="dxa" w:w="3081"/>
            <w:vAlign w:val="center"/>
          </w:tcPr>
          <w:p>
            <w:r>
              <w:rPr>
                <w:rFonts w:ascii="Yu Mincho" w:hAnsi="Yu Mincho" w:eastAsia="Yu Mincho"/>
              </w:rPr>
              <w:t>4～7日目</w:t>
            </w:r>
          </w:p>
        </w:tc>
        <w:tc>
          <w:tcPr>
            <w:tcW w:type="dxa" w:w="3081"/>
            <w:vAlign w:val="center"/>
          </w:tcPr>
          <w:p>
            <w:r>
              <w:rPr>
                <w:rFonts w:ascii="Yu Mincho" w:hAnsi="Yu Mincho" w:eastAsia="Yu Mincho"/>
              </w:rPr>
              <w:t>回復感が残る場合、1日1回の短時間記録</w:t>
            </w:r>
          </w:p>
        </w:tc>
      </w:tr>
    </w:tbl>
    <w:p/>
    <w:p>
      <w:pPr>
        <w:spacing w:line="331" w:lineRule="auto" w:after="120"/>
        <w:ind w:firstLine="408"/>
        <w:jc w:val="both"/>
      </w:pPr>
      <w:r>
        <w:rPr>
          <w:rFonts w:ascii="Yu Mincho" w:hAnsi="Yu Mincho" w:eastAsia="Yu Mincho"/>
        </w:rPr>
        <w:t>主観的ストレス、身体回復感、身体緊張感は0～10の数値評価尺度を用いる。短時間で繰り返し回答できる視覚的尺度は、日常場面におけるストレス記録に適している[30]。0点と10点の意味を事前に共有し、初回セッション前に練習評価を行う。</w:t>
      </w:r>
    </w:p>
    <w:p>
      <w:pPr>
        <w:spacing w:line="331" w:lineRule="auto" w:after="120"/>
        <w:ind w:firstLine="408"/>
        <w:jc w:val="both"/>
      </w:pPr>
      <w:r>
        <w:rPr>
          <w:rFonts w:ascii="Yu Mincho" w:hAnsi="Yu Mincho" w:eastAsia="Yu Mincho"/>
        </w:rPr>
        <w:t>ストレスは0点を「いまストレスを感じていない」、10点を「自分が想像できる最大のストレス」とする。身体回復感は0点を「非常に疲れている」、10点を「十分に回復している」とする。身体緊張感は0点を「身体が自然に緩んでいる」、10点を「身体が非常に強く緊張している」とする。</w:t>
      </w:r>
    </w:p>
    <w:p>
      <w:pPr>
        <w:spacing w:line="331" w:lineRule="auto" w:after="120"/>
        <w:ind w:firstLine="408"/>
        <w:jc w:val="both"/>
      </w:pPr>
      <w:r>
        <w:rPr>
          <w:rFonts w:ascii="Yu Mincho" w:hAnsi="Yu Mincho" w:eastAsia="Yu Mincho"/>
        </w:rPr>
        <w:t>主要評価項目は回復効果の持続時間である。計時は各セッションの一連のプログラム終了時から開始する。参加者が、明確な安堵感が弱まり通常状態へ戻った日時を示せる場合は実時刻から算出し、二つの追跡時点の間で消失したとしか判断できない場合は中間時点を推定値とする。ストレスがT0より低いこと、身体回復感がT0より高いこと、身体緊張感がT0より低いことを、回復状態が続いているかを判断する補助情報とする。副次評価項目は、T1におけるストレス低下、身体回復感の上昇、身体緊張感の低下および翌朝の睡眠回復感である。</w:t>
      </w:r>
    </w:p>
    <w:p>
      <w:pPr>
        <w:spacing w:line="331" w:lineRule="auto" w:after="120"/>
        <w:ind w:firstLine="408"/>
        <w:jc w:val="both"/>
      </w:pPr>
      <w:r>
        <w:rPr>
          <w:rFonts w:ascii="Yu Mincho" w:hAnsi="Yu Mincho" w:eastAsia="Yu Mincho"/>
        </w:rPr>
        <w:t>各追跡時には、「おおよそいつから普段の状態へ戻り始めたか」も記録する。7日目にも回復感が明確に残っている場合は「少なくとも168時間」とし、集計では持続時間の下限として扱い、168時間を正確な終了時点とはみなさない。この方法により、記録負担を抑えながら、持続時間を統一した手順で追跡できる。</w:t>
      </w:r>
    </w:p>
    <w:p>
      <w:pPr>
        <w:pStyle w:val="Heading2"/>
      </w:pPr>
      <w:r>
        <w:rPr>
          <w:rFonts w:ascii="Yu Gothic" w:hAnsi="Yu Gothic" w:eastAsia="Yu Gothic"/>
        </w:rPr>
        <w:t>4.5　分析方法</w:t>
      </w:r>
    </w:p>
    <w:p>
      <w:pPr>
        <w:spacing w:line="331" w:lineRule="auto" w:after="120"/>
        <w:ind w:firstLine="408"/>
        <w:jc w:val="both"/>
      </w:pPr>
      <w:r>
        <w:rPr>
          <w:rFonts w:ascii="Yu Mincho" w:hAnsi="Yu Mincho" w:eastAsia="Yu Mincho"/>
        </w:rPr>
        <w:t>分析の基本単位は各参加者とする。まず、各人のA、B、C三段階の回復持続時間を実施順に一つの表へ並べ、三段階の持続時間推移を図示する。横軸はSPA、SPA＋森林浴、SPA＋森林浴＋温泉浴、縦軸は回復持続時間とする。あわせて、主観的ストレス、身体回復感および身体緊張感についてT0からT5までの推移を別々に示す。T1は一連のプログラム終了時の0時間、T2、T3、T4は24、48、72時間後、T5は96～168時間の実際の記録時刻に置き、T0は介入前の基準値として別に示す。</w:t>
      </w:r>
    </w:p>
    <w:p>
      <w:pPr>
        <w:spacing w:line="331" w:lineRule="auto" w:after="120"/>
        <w:ind w:firstLine="408"/>
        <w:jc w:val="both"/>
      </w:pPr>
      <w:r>
        <w:rPr>
          <w:rFonts w:ascii="Yu Mincho" w:hAnsi="Yu Mincho" w:eastAsia="Yu Mincho"/>
        </w:rPr>
        <w:t>即時改善は、すべて良好な方向が正となるよう統一して算出する。ストレス改善値はT0－T1、身体緊張改善値はT0－T1、身体回復改善値はT1－T0とする。24、48、72時間後の得点も各セッションのT0と照合し、改善がいつまで保たれたか、得点推移と本人が申告した持続時間が一致するかを確認する。</w:t>
      </w:r>
    </w:p>
    <w:p>
      <w:pPr>
        <w:spacing w:line="331" w:lineRule="auto" w:after="120"/>
        <w:ind w:firstLine="408"/>
        <w:jc w:val="both"/>
      </w:pPr>
      <w:r>
        <w:rPr>
          <w:rFonts w:ascii="Yu Mincho" w:hAnsi="Yu Mincho" w:eastAsia="Yu Mincho"/>
        </w:rPr>
        <w:t>各参加者の結果は、SPA後の回復がどの程度続いたか、森林浴を加えると延びたか、さらに温泉浴を加えると続けて延びたか、という三つの問いに順に答える。実際の三段階記録に基づき、個人の推移を「段階的延長」「部分的延長」「概ね安定」「変動」の四類型に整理し、各人の具体的な持続時間、得点推移および生活上の出来事を残す。完全な経路終了後の最終持続時間を、本研究で最も重要な実践的結果とする。</w:t>
      </w:r>
    </w:p>
    <w:p>
      <w:pPr>
        <w:spacing w:line="331" w:lineRule="auto" w:after="120"/>
        <w:ind w:firstLine="408"/>
        <w:jc w:val="both"/>
      </w:pPr>
      <w:r>
        <w:rPr>
          <w:rFonts w:ascii="Yu Mincho" w:hAnsi="Yu Mincho" w:eastAsia="Yu Mincho"/>
        </w:rPr>
        <w:t>6名の結果は、まず一人ずつ示し、その後に全体をまとめる。集計項目は、三段階の持続時間の中央値と範囲、段階的延長を示した人数、延長が主に現れた段階、および完全な経路で得られた代表的な最終持続時間である。第一段階は記述的分析を中心とし、同じ傾向が複数の参加者に繰り返し現れるかをみると同時に、個人差、完遂率および記録負担を残す。サンプルを拡大し、より密で統一された連続記録が得られた段階では、変化曲線下面積を補助指標として加え、改善の大きさと時間を統合的に表すことができる[32]。</w:t>
      </w:r>
    </w:p>
    <w:p>
      <w:pPr>
        <w:spacing w:line="331" w:lineRule="auto" w:after="120"/>
        <w:ind w:firstLine="408"/>
        <w:jc w:val="both"/>
      </w:pPr>
      <w:r>
        <w:rPr>
          <w:rFonts w:ascii="Yu Mincho" w:hAnsi="Yu Mincho" w:eastAsia="Yu Mincho"/>
        </w:rPr>
        <w:t>次段階へ進む基準は、実行可能性と傾向の信号に分ける。実行可能性は、18セッションの完遂、24・48・72時間後記録の完了率85％以上、1回の記録時間が平均1分以内、そして大部分のセッションで持続時間を特定できることとする。傾向の信号は、6名中5名以上で段階の進行に伴う持続時間の延長がみられ、完全な経路の代表的持続時間がSPA段階より少なくとも24時間長いこととする。これらを、参加者数、反復回数および客観的生理指標を増やす判断材料とする。</w:t>
      </w:r>
    </w:p>
    <w:p>
      <w:pPr>
        <w:pStyle w:val="Heading2"/>
      </w:pPr>
      <w:r>
        <w:rPr>
          <w:rFonts w:ascii="Yu Gothic" w:hAnsi="Yu Gothic" w:eastAsia="Yu Gothic"/>
        </w:rPr>
        <w:t>4.6　倫理、品質管理および安全</w:t>
      </w:r>
    </w:p>
    <w:p>
      <w:pPr>
        <w:spacing w:line="331" w:lineRule="auto" w:after="120"/>
        <w:ind w:firstLine="408"/>
        <w:jc w:val="both"/>
      </w:pPr>
      <w:r>
        <w:rPr>
          <w:rFonts w:ascii="Yu Mincho" w:hAnsi="Yu Mincho" w:eastAsia="Yu Mincho"/>
        </w:rPr>
        <w:t>研究開始前に倫理審査、研究登録、書面同意、データ管理、不利益および有害事象への対応手順を整える。SPAは同一施術者が統一手順で行い、森林ルート、時間帯および天候条件を可能な範囲でそろえる。温泉施設、泉質、湯温および入浴時間も一定に保ち、手順からの逸脱と現場調整は当日中に記録する。</w:t>
      </w:r>
    </w:p>
    <w:p>
      <w:pPr>
        <w:spacing w:line="331" w:lineRule="auto" w:after="120"/>
        <w:ind w:firstLine="408"/>
        <w:jc w:val="both"/>
      </w:pPr>
      <w:r>
        <w:rPr>
          <w:rFonts w:ascii="Yu Mincho" w:hAnsi="Yu Mincho" w:eastAsia="Yu Mincho"/>
        </w:rPr>
        <w:t>森林活動には飲水、通信手段および救急用品を準備する。温泉入浴前には、血圧、飲酒、脱水および体調を確認する。活動中に明確な不調が生じた場合は、その時点で中止し、必要な評価と追跡を行う。</w:t>
      </w:r>
    </w:p>
    <w:p>
      <w:pPr>
        <w:spacing w:line="331" w:lineRule="auto" w:after="120"/>
        <w:ind w:firstLine="408"/>
        <w:jc w:val="both"/>
      </w:pPr>
      <w:r>
        <w:rPr>
          <w:rFonts w:ascii="Yu Mincho" w:hAnsi="Yu Mincho" w:eastAsia="Yu Mincho"/>
        </w:rPr>
        <w:t>研究データは研究番号で管理し、氏名と研究記録を分けて保存する。研究終了後、参加者は自分のA・B・C三条件の曲線を確認し、結果説明を受ける。この還元は、参加者自身が自分に合った回復方法を知るという本研究の実践目的にもつながる。</w:t>
      </w:r>
    </w:p>
    <w:p>
      <w:pPr>
        <w:pStyle w:val="Heading1"/>
      </w:pPr>
      <w:r>
        <w:rPr>
          <w:rFonts w:ascii="Yu Gothic" w:hAnsi="Yu Gothic" w:eastAsia="Yu Gothic"/>
        </w:rPr>
        <w:t>5．エビデンス、作用経路および測定項目の対応</w:t>
      </w:r>
    </w:p>
    <w:p>
      <w:pPr>
        <w:spacing w:line="331" w:lineRule="auto" w:after="120"/>
        <w:ind w:firstLine="408"/>
        <w:jc w:val="both"/>
      </w:pPr>
      <w:r>
        <w:rPr>
          <w:rFonts w:ascii="Yu Mincho" w:hAnsi="Yu Mincho" w:eastAsia="Yu Mincho"/>
        </w:rPr>
        <w:t>本モデルの検証は三段階で進める。第一段階は、主観的ストレス、身体回復感、身体緊張感および持続時間という、現場で直接記録できる変化である。第二段階では、安静時心拍、心拍変動、血圧、呼吸数、唾液中コルチゾールおよびPOMS2を加える。これらには比較的成熟した測定・報告指針がある[28,29,31]。第三段階では、脳波、NK細胞、炎症、酸化ストレス、テロメアおよび環境物理化学指標を探索する。</w:t>
      </w:r>
    </w:p>
    <w:tbl>
      <w:tblPr>
        <w:tblStyle w:val="TableGrid"/>
        <w:tblW w:type="auto" w:w="0"/>
        <w:jc w:val="center"/>
        <w:tblLook w:firstColumn="1" w:firstRow="1" w:lastColumn="0" w:lastRow="0" w:noHBand="0" w:noVBand="1" w:val="04A0"/>
      </w:tblPr>
      <w:tblGrid>
        <w:gridCol w:w="2310"/>
        <w:gridCol w:w="2310"/>
        <w:gridCol w:w="2310"/>
        <w:gridCol w:w="2310"/>
      </w:tblGrid>
      <w:tr>
        <w:tc>
          <w:tcPr>
            <w:tcW w:type="dxa" w:w="2310"/>
            <w:vAlign w:val="center"/>
            <w:shd w:fill="E9F3EE"/>
          </w:tcPr>
          <w:p>
            <w:r>
              <w:rPr>
                <w:rFonts w:ascii="Yu Mincho" w:hAnsi="Yu Mincho" w:eastAsia="Yu Mincho"/>
              </w:rPr>
              <w:t>理論段階</w:t>
            </w:r>
          </w:p>
        </w:tc>
        <w:tc>
          <w:tcPr>
            <w:tcW w:type="dxa" w:w="2310"/>
            <w:vAlign w:val="center"/>
            <w:shd w:fill="E9F3EE"/>
          </w:tcPr>
          <w:p>
            <w:r>
              <w:rPr>
                <w:rFonts w:ascii="Yu Mincho" w:hAnsi="Yu Mincho" w:eastAsia="Yu Mincho"/>
              </w:rPr>
              <w:t>現在のエビデンス</w:t>
            </w:r>
          </w:p>
        </w:tc>
        <w:tc>
          <w:tcPr>
            <w:tcW w:type="dxa" w:w="2310"/>
            <w:vAlign w:val="center"/>
            <w:shd w:fill="E9F3EE"/>
          </w:tcPr>
          <w:p>
            <w:r>
              <w:rPr>
                <w:rFonts w:ascii="Yu Mincho" w:hAnsi="Yu Mincho" w:eastAsia="Yu Mincho"/>
              </w:rPr>
              <w:t>第一段階の観察</w:t>
            </w:r>
          </w:p>
        </w:tc>
        <w:tc>
          <w:tcPr>
            <w:tcW w:type="dxa" w:w="2310"/>
            <w:vAlign w:val="center"/>
            <w:shd w:fill="E9F3EE"/>
          </w:tcPr>
          <w:p>
            <w:r>
              <w:rPr>
                <w:rFonts w:ascii="Yu Mincho" w:hAnsi="Yu Mincho" w:eastAsia="Yu Mincho"/>
              </w:rPr>
              <w:t>今後の深化指標</w:t>
            </w:r>
          </w:p>
        </w:tc>
      </w:tr>
      <w:tr>
        <w:tc>
          <w:tcPr>
            <w:tcW w:type="dxa" w:w="2310"/>
            <w:vAlign w:val="center"/>
          </w:tcPr>
          <w:p>
            <w:r>
              <w:rPr>
                <w:rFonts w:ascii="Yu Mincho" w:hAnsi="Yu Mincho" w:eastAsia="Yu Mincho"/>
              </w:rPr>
              <w:t>SPAによる始動</w:t>
            </w:r>
          </w:p>
        </w:tc>
        <w:tc>
          <w:tcPr>
            <w:tcW w:type="dxa" w:w="2310"/>
            <w:vAlign w:val="center"/>
          </w:tcPr>
          <w:p>
            <w:r>
              <w:rPr>
                <w:rFonts w:ascii="Yu Mincho" w:hAnsi="Yu Mincho" w:eastAsia="Yu Mincho"/>
              </w:rPr>
              <w:t>触覚、芳香、リズムケアとストレス回復[16-20]</w:t>
            </w:r>
          </w:p>
        </w:tc>
        <w:tc>
          <w:tcPr>
            <w:tcW w:type="dxa" w:w="2310"/>
            <w:vAlign w:val="center"/>
          </w:tcPr>
          <w:p>
            <w:r>
              <w:rPr>
                <w:rFonts w:ascii="Yu Mincho" w:hAnsi="Yu Mincho" w:eastAsia="Yu Mincho"/>
              </w:rPr>
              <w:t>ストレス、緊張、回復感</w:t>
            </w:r>
          </w:p>
        </w:tc>
        <w:tc>
          <w:tcPr>
            <w:tcW w:type="dxa" w:w="2310"/>
            <w:vAlign w:val="center"/>
          </w:tcPr>
          <w:p>
            <w:r>
              <w:rPr>
                <w:rFonts w:ascii="Yu Mincho" w:hAnsi="Yu Mincho" w:eastAsia="Yu Mincho"/>
              </w:rPr>
              <w:t>HRV、コルチゾール、呼吸</w:t>
            </w:r>
          </w:p>
        </w:tc>
      </w:tr>
      <w:tr>
        <w:tc>
          <w:tcPr>
            <w:tcW w:type="dxa" w:w="2310"/>
            <w:vAlign w:val="center"/>
          </w:tcPr>
          <w:p>
            <w:r>
              <w:rPr>
                <w:rFonts w:ascii="Yu Mincho" w:hAnsi="Yu Mincho" w:eastAsia="Yu Mincho"/>
              </w:rPr>
              <w:t>森林による深化</w:t>
            </w:r>
          </w:p>
        </w:tc>
        <w:tc>
          <w:tcPr>
            <w:tcW w:type="dxa" w:w="2310"/>
            <w:vAlign w:val="center"/>
          </w:tcPr>
          <w:p>
            <w:r>
              <w:rPr>
                <w:rFonts w:ascii="Yu Mincho" w:hAnsi="Yu Mincho" w:eastAsia="Yu Mincho"/>
              </w:rPr>
              <w:t>視覚、音風景、香り、植物由来成分、森林フィールド研究[3-15,48-69,76-82,85-90]</w:t>
            </w:r>
          </w:p>
        </w:tc>
        <w:tc>
          <w:tcPr>
            <w:tcW w:type="dxa" w:w="2310"/>
            <w:vAlign w:val="center"/>
          </w:tcPr>
          <w:p>
            <w:r>
              <w:rPr>
                <w:rFonts w:ascii="Yu Mincho" w:hAnsi="Yu Mincho" w:eastAsia="Yu Mincho"/>
              </w:rPr>
              <w:t>持続時間、香り・音風景体験</w:t>
            </w:r>
          </w:p>
        </w:tc>
        <w:tc>
          <w:tcPr>
            <w:tcW w:type="dxa" w:w="2310"/>
            <w:vAlign w:val="center"/>
          </w:tcPr>
          <w:p>
            <w:r>
              <w:rPr>
                <w:rFonts w:ascii="Yu Mincho" w:hAnsi="Yu Mincho" w:eastAsia="Yu Mincho"/>
              </w:rPr>
              <w:t>揮発性成分、空気イオン、脳波、NK細胞</w:t>
            </w:r>
          </w:p>
        </w:tc>
      </w:tr>
      <w:tr>
        <w:tc>
          <w:tcPr>
            <w:tcW w:type="dxa" w:w="2310"/>
            <w:vAlign w:val="center"/>
          </w:tcPr>
          <w:p>
            <w:r>
              <w:rPr>
                <w:rFonts w:ascii="Yu Mincho" w:hAnsi="Yu Mincho" w:eastAsia="Yu Mincho"/>
              </w:rPr>
              <w:t>温泉による支援</w:t>
            </w:r>
          </w:p>
        </w:tc>
        <w:tc>
          <w:tcPr>
            <w:tcW w:type="dxa" w:w="2310"/>
            <w:vAlign w:val="center"/>
          </w:tcPr>
          <w:p>
            <w:r>
              <w:rPr>
                <w:rFonts w:ascii="Yu Mincho" w:hAnsi="Yu Mincho" w:eastAsia="Yu Mincho"/>
              </w:rPr>
              <w:t>温熱、浮力、泉質、休息、浴療研究[21-25,70,71,83,84,91]</w:t>
            </w:r>
          </w:p>
        </w:tc>
        <w:tc>
          <w:tcPr>
            <w:tcW w:type="dxa" w:w="2310"/>
            <w:vAlign w:val="center"/>
          </w:tcPr>
          <w:p>
            <w:r>
              <w:rPr>
                <w:rFonts w:ascii="Yu Mincho" w:hAnsi="Yu Mincho" w:eastAsia="Yu Mincho"/>
              </w:rPr>
              <w:t>温まり感、快適感、持続時間</w:t>
            </w:r>
          </w:p>
        </w:tc>
        <w:tc>
          <w:tcPr>
            <w:tcW w:type="dxa" w:w="2310"/>
            <w:vAlign w:val="center"/>
          </w:tcPr>
          <w:p>
            <w:r>
              <w:rPr>
                <w:rFonts w:ascii="Yu Mincho" w:hAnsi="Yu Mincho" w:eastAsia="Yu Mincho"/>
              </w:rPr>
              <w:t>HRV、コルチゾール、睡眠、泉質比較</w:t>
            </w:r>
          </w:p>
        </w:tc>
      </w:tr>
      <w:tr>
        <w:tc>
          <w:tcPr>
            <w:tcW w:type="dxa" w:w="2310"/>
            <w:vAlign w:val="center"/>
          </w:tcPr>
          <w:p>
            <w:r>
              <w:rPr>
                <w:rFonts w:ascii="Yu Mincho" w:hAnsi="Yu Mincho" w:eastAsia="Yu Mincho"/>
              </w:rPr>
              <w:t>日常生活での維持</w:t>
            </w:r>
          </w:p>
        </w:tc>
        <w:tc>
          <w:tcPr>
            <w:tcW w:type="dxa" w:w="2310"/>
            <w:vAlign w:val="center"/>
          </w:tcPr>
          <w:p>
            <w:r>
              <w:rPr>
                <w:rFonts w:ascii="Yu Mincho" w:hAnsi="Yu Mincho" w:eastAsia="Yu Mincho"/>
              </w:rPr>
              <w:t>緑地、自然接触、健康増進政策[26,27,41-44,80]</w:t>
            </w:r>
          </w:p>
        </w:tc>
        <w:tc>
          <w:tcPr>
            <w:tcW w:type="dxa" w:w="2310"/>
            <w:vAlign w:val="center"/>
          </w:tcPr>
          <w:p>
            <w:r>
              <w:rPr>
                <w:rFonts w:ascii="Yu Mincho" w:hAnsi="Yu Mincho" w:eastAsia="Yu Mincho"/>
              </w:rPr>
              <w:t>24～72時間後および7日目の状態</w:t>
            </w:r>
          </w:p>
        </w:tc>
        <w:tc>
          <w:tcPr>
            <w:tcW w:type="dxa" w:w="2310"/>
            <w:vAlign w:val="center"/>
          </w:tcPr>
          <w:p>
            <w:r>
              <w:rPr>
                <w:rFonts w:ascii="Yu Mincho" w:hAnsi="Yu Mincho" w:eastAsia="Yu Mincho"/>
              </w:rPr>
              <w:t>長期活動、炎症、テロメア関連指標</w:t>
            </w:r>
          </w:p>
        </w:tc>
      </w:tr>
    </w:tbl>
    <w:p/>
    <w:p>
      <w:pPr>
        <w:spacing w:line="331" w:lineRule="auto" w:after="120"/>
        <w:ind w:firstLine="408"/>
        <w:jc w:val="both"/>
      </w:pPr>
      <w:r>
        <w:rPr>
          <w:rFonts w:ascii="Yu Mincho" w:hAnsi="Yu Mincho" w:eastAsia="Yu Mincho"/>
        </w:rPr>
        <w:t>この段階構成により、初回研究の負担を抑えながら、各理論要素に検証の位置を与える。まず現場で安定した信号を見つけ、次に、その信号が最も明確に表れる時間と環境へ生理測定を加える。</w:t>
      </w:r>
    </w:p>
    <w:p>
      <w:pPr>
        <w:pStyle w:val="Heading1"/>
      </w:pPr>
      <w:r>
        <w:rPr>
          <w:rFonts w:ascii="Yu Gothic" w:hAnsi="Yu Gothic" w:eastAsia="Yu Gothic"/>
        </w:rPr>
        <w:t>6．結果の解釈と考察の枠組み</w:t>
      </w:r>
    </w:p>
    <w:p>
      <w:pPr>
        <w:spacing w:line="331" w:lineRule="auto" w:after="120"/>
        <w:ind w:firstLine="408"/>
        <w:jc w:val="both"/>
      </w:pPr>
      <w:r>
        <w:rPr>
          <w:rFonts w:ascii="Yu Mincho" w:hAnsi="Yu Mincho" w:eastAsia="Yu Mincho"/>
        </w:rPr>
        <w:t>本研究は計画段階にあるため、データ取得前に解釈の枠組みを定める。多数の参加者がSPA段階で即時改善を示し、森林浴と温泉浴を順に加えるにつれて回復持続時間が段階的に延びた場合は、「SPAで始動し、森林で深め、温泉で支える」という連続経路を支持する。延長が主に森林段階に現れた場合は、実際の自然接触が回復維持の中心的役割を担う。完全な経路終了後に持続時間がさらに延びた場合は、温熱入浴と浴後休息が追加の回復支援を構成する。最終的な解釈は、三段階の実際の時間推移に基づいて行う。</w:t>
      </w:r>
    </w:p>
    <w:p>
      <w:pPr>
        <w:spacing w:line="331" w:lineRule="auto" w:after="120"/>
        <w:ind w:firstLine="408"/>
        <w:jc w:val="both"/>
      </w:pPr>
      <w:r>
        <w:rPr>
          <w:rFonts w:ascii="Yu Mincho" w:hAnsi="Yu Mincho" w:eastAsia="Yu Mincho"/>
        </w:rPr>
        <w:t>データ取得後に期待に合う解釈だけを選ばないよう、以下の判断枠組みをあらかじめ定める。</w:t>
      </w:r>
    </w:p>
    <w:tbl>
      <w:tblPr>
        <w:tblStyle w:val="TableGrid"/>
        <w:tblW w:type="auto" w:w="0"/>
        <w:jc w:val="center"/>
        <w:tblLook w:firstColumn="1" w:firstRow="1" w:lastColumn="0" w:lastRow="0" w:noHBand="0" w:noVBand="1" w:val="04A0"/>
      </w:tblPr>
      <w:tblGrid>
        <w:gridCol w:w="3081"/>
        <w:gridCol w:w="3081"/>
        <w:gridCol w:w="3081"/>
      </w:tblGrid>
      <w:tr>
        <w:tc>
          <w:tcPr>
            <w:tcW w:type="dxa" w:w="3081"/>
            <w:vAlign w:val="center"/>
            <w:shd w:fill="E9F3EE"/>
          </w:tcPr>
          <w:p>
            <w:r>
              <w:rPr>
                <w:rFonts w:ascii="Yu Mincho" w:hAnsi="Yu Mincho" w:eastAsia="Yu Mincho"/>
              </w:rPr>
              <w:t>観察される推移</w:t>
            </w:r>
          </w:p>
        </w:tc>
        <w:tc>
          <w:tcPr>
            <w:tcW w:type="dxa" w:w="3081"/>
            <w:vAlign w:val="center"/>
            <w:shd w:fill="E9F3EE"/>
          </w:tcPr>
          <w:p>
            <w:r>
              <w:rPr>
                <w:rFonts w:ascii="Yu Mincho" w:hAnsi="Yu Mincho" w:eastAsia="Yu Mincho"/>
              </w:rPr>
              <w:t>主な解釈</w:t>
            </w:r>
          </w:p>
        </w:tc>
        <w:tc>
          <w:tcPr>
            <w:tcW w:type="dxa" w:w="3081"/>
            <w:vAlign w:val="center"/>
            <w:shd w:fill="E9F3EE"/>
          </w:tcPr>
          <w:p>
            <w:r>
              <w:rPr>
                <w:rFonts w:ascii="Yu Mincho" w:hAnsi="Yu Mincho" w:eastAsia="Yu Mincho"/>
              </w:rPr>
              <w:t>次の研究</w:t>
            </w:r>
          </w:p>
        </w:tc>
      </w:tr>
      <w:tr>
        <w:tc>
          <w:tcPr>
            <w:tcW w:type="dxa" w:w="3081"/>
            <w:vAlign w:val="center"/>
          </w:tcPr>
          <w:p>
            <w:r>
              <w:rPr>
                <w:rFonts w:ascii="Yu Mincho" w:hAnsi="Yu Mincho" w:eastAsia="Yu Mincho"/>
              </w:rPr>
              <w:t>三段階すべてで即時改善がみられ、経路の進行に伴って持続時間が段階的に延びる</w:t>
            </w:r>
          </w:p>
        </w:tc>
        <w:tc>
          <w:tcPr>
            <w:tcW w:type="dxa" w:w="3081"/>
            <w:vAlign w:val="center"/>
          </w:tcPr>
          <w:p>
            <w:r>
              <w:rPr>
                <w:rFonts w:ascii="Yu Mincho" w:hAnsi="Yu Mincho" w:eastAsia="Yu Mincho"/>
              </w:rPr>
              <w:t>SPAで始動し、森林で深め、温泉で支える連続モデルを支持する</w:t>
            </w:r>
          </w:p>
        </w:tc>
        <w:tc>
          <w:tcPr>
            <w:tcW w:type="dxa" w:w="3081"/>
            <w:vAlign w:val="center"/>
          </w:tcPr>
          <w:p>
            <w:r>
              <w:rPr>
                <w:rFonts w:ascii="Yu Mincho" w:hAnsi="Yu Mincho" w:eastAsia="Yu Mincho"/>
              </w:rPr>
              <w:t>サンプルを拡大し、HRVとコルチゾールを加える</w:t>
            </w:r>
          </w:p>
        </w:tc>
      </w:tr>
      <w:tr>
        <w:tc>
          <w:tcPr>
            <w:tcW w:type="dxa" w:w="3081"/>
            <w:vAlign w:val="center"/>
          </w:tcPr>
          <w:p>
            <w:r>
              <w:rPr>
                <w:rFonts w:ascii="Yu Mincho" w:hAnsi="Yu Mincho" w:eastAsia="Yu Mincho"/>
              </w:rPr>
              <w:t>延長が主に森林浴を加えた後に現れ、完全な経路でも安定して保たれる</w:t>
            </w:r>
          </w:p>
        </w:tc>
        <w:tc>
          <w:tcPr>
            <w:tcW w:type="dxa" w:w="3081"/>
            <w:vAlign w:val="center"/>
          </w:tcPr>
          <w:p>
            <w:r>
              <w:rPr>
                <w:rFonts w:ascii="Yu Mincho" w:hAnsi="Yu Mincho" w:eastAsia="Yu Mincho"/>
              </w:rPr>
              <w:t>実際の森林接触が持続時間延長の中心段階である</w:t>
            </w:r>
          </w:p>
        </w:tc>
        <w:tc>
          <w:tcPr>
            <w:tcW w:type="dxa" w:w="3081"/>
            <w:vAlign w:val="center"/>
          </w:tcPr>
          <w:p>
            <w:r>
              <w:rPr>
                <w:rFonts w:ascii="Yu Mincho" w:hAnsi="Yu Mincho" w:eastAsia="Yu Mincho"/>
              </w:rPr>
              <w:t>音風景、香り、歩行、記憶反応を分析する</w:t>
            </w:r>
          </w:p>
        </w:tc>
      </w:tr>
      <w:tr>
        <w:tc>
          <w:tcPr>
            <w:tcW w:type="dxa" w:w="3081"/>
            <w:vAlign w:val="center"/>
          </w:tcPr>
          <w:p>
            <w:r>
              <w:rPr>
                <w:rFonts w:ascii="Yu Mincho" w:hAnsi="Yu Mincho" w:eastAsia="Yu Mincho"/>
              </w:rPr>
              <w:t>前二段階の変化は緩やかで、温泉浴を含む完全な経路で明確に延びる</w:t>
            </w:r>
          </w:p>
        </w:tc>
        <w:tc>
          <w:tcPr>
            <w:tcW w:type="dxa" w:w="3081"/>
            <w:vAlign w:val="center"/>
          </w:tcPr>
          <w:p>
            <w:r>
              <w:rPr>
                <w:rFonts w:ascii="Yu Mincho" w:hAnsi="Yu Mincho" w:eastAsia="Yu Mincho"/>
              </w:rPr>
              <w:t>温熱入浴と浴後休息が追加の回復支援を担う</w:t>
            </w:r>
          </w:p>
        </w:tc>
        <w:tc>
          <w:tcPr>
            <w:tcW w:type="dxa" w:w="3081"/>
            <w:vAlign w:val="center"/>
          </w:tcPr>
          <w:p>
            <w:r>
              <w:rPr>
                <w:rFonts w:ascii="Yu Mincho" w:hAnsi="Yu Mincho" w:eastAsia="Yu Mincho"/>
              </w:rPr>
              <w:t>温熱、泉質、浴後休息の作用を検討する</w:t>
            </w:r>
          </w:p>
        </w:tc>
      </w:tr>
      <w:tr>
        <w:tc>
          <w:tcPr>
            <w:tcW w:type="dxa" w:w="3081"/>
            <w:vAlign w:val="center"/>
          </w:tcPr>
          <w:p>
            <w:r>
              <w:rPr>
                <w:rFonts w:ascii="Yu Mincho" w:hAnsi="Yu Mincho" w:eastAsia="Yu Mincho"/>
              </w:rPr>
              <w:t>三段階の持続時間が概ね近い</w:t>
            </w:r>
          </w:p>
        </w:tc>
        <w:tc>
          <w:tcPr>
            <w:tcW w:type="dxa" w:w="3081"/>
            <w:vAlign w:val="center"/>
          </w:tcPr>
          <w:p>
            <w:r>
              <w:rPr>
                <w:rFonts w:ascii="Yu Mincho" w:hAnsi="Yu Mincho" w:eastAsia="Yu Mincho"/>
              </w:rPr>
              <w:t>SPA段階ですでに安定した回復が得られたか、追加環境への反応が小さい</w:t>
            </w:r>
          </w:p>
        </w:tc>
        <w:tc>
          <w:tcPr>
            <w:tcW w:type="dxa" w:w="3081"/>
            <w:vAlign w:val="center"/>
          </w:tcPr>
          <w:p>
            <w:r>
              <w:rPr>
                <w:rFonts w:ascii="Yu Mincho" w:hAnsi="Yu Mincho" w:eastAsia="Yu Mincho"/>
              </w:rPr>
              <w:t>同じ経路の反復回数を増やし、基準状態と期待を確認する</w:t>
            </w:r>
          </w:p>
        </w:tc>
      </w:tr>
      <w:tr>
        <w:tc>
          <w:tcPr>
            <w:tcW w:type="dxa" w:w="3081"/>
            <w:vAlign w:val="center"/>
          </w:tcPr>
          <w:p>
            <w:r>
              <w:rPr>
                <w:rFonts w:ascii="Yu Mincho" w:hAnsi="Yu Mincho" w:eastAsia="Yu Mincho"/>
              </w:rPr>
              <w:t>6名で延長の現れ方が異なる</w:t>
            </w:r>
          </w:p>
        </w:tc>
        <w:tc>
          <w:tcPr>
            <w:tcW w:type="dxa" w:w="3081"/>
            <w:vAlign w:val="center"/>
          </w:tcPr>
          <w:p>
            <w:r>
              <w:rPr>
                <w:rFonts w:ascii="Yu Mincho" w:hAnsi="Yu Mincho" w:eastAsia="Yu Mincho"/>
              </w:rPr>
              <w:t>触覚、森林環境、温熱入浴への感受性に個人差がある</w:t>
            </w:r>
          </w:p>
        </w:tc>
        <w:tc>
          <w:tcPr>
            <w:tcW w:type="dxa" w:w="3081"/>
            <w:vAlign w:val="center"/>
          </w:tcPr>
          <w:p>
            <w:r>
              <w:rPr>
                <w:rFonts w:ascii="Yu Mincho" w:hAnsi="Yu Mincho" w:eastAsia="Yu Mincho"/>
              </w:rPr>
              <w:t>個別化した未病ケアの類型を構築する</w:t>
            </w:r>
          </w:p>
        </w:tc>
      </w:tr>
    </w:tbl>
    <w:p/>
    <w:p>
      <w:pPr>
        <w:spacing w:line="331" w:lineRule="auto" w:after="120"/>
        <w:ind w:firstLine="408"/>
        <w:jc w:val="both"/>
      </w:pPr>
      <w:r>
        <w:rPr>
          <w:rFonts w:ascii="Yu Mincho" w:hAnsi="Yu Mincho" w:eastAsia="Yu Mincho"/>
        </w:rPr>
        <w:t>参加者によって、森林の音や香りへの反応が強い場合もあれば、温熱と入浴への反応が強い場合もある。被験者内比較デザインは、その個人差を消さずに示せる。三条件の差が小さい場合も、SPA単独の持続時間と、日常ストレスが再び蓄積する速度を知ることができる。</w:t>
      </w:r>
    </w:p>
    <w:p>
      <w:pPr>
        <w:spacing w:line="331" w:lineRule="auto" w:after="120"/>
        <w:ind w:firstLine="408"/>
        <w:jc w:val="both"/>
      </w:pPr>
      <w:r>
        <w:rPr>
          <w:rFonts w:ascii="Yu Mincho" w:hAnsi="Yu Mincho" w:eastAsia="Yu Mincho"/>
        </w:rPr>
        <w:t>本モデルの中心は、SPAと実際の自然環境の間に段階的な関係があるという点にある。SPAは、室内環境と触覚ケアによって自然の一部を集中的に再構成し、比較的短時間で身体を回復方向へ向ける。森林は、風、光、地形、音、香り、季節および生命活動を絶えず変化させながら、身体全体を環境のなかへ包み込む。温泉は、実際の水、温熱、浮力、泉質および休息を加える。三者は個別のサービスではなく、連続した回復過程として理解できる。</w:t>
      </w:r>
    </w:p>
    <w:p>
      <w:pPr>
        <w:spacing w:line="331" w:lineRule="auto" w:after="120"/>
        <w:ind w:firstLine="408"/>
        <w:jc w:val="both"/>
      </w:pPr>
      <w:r>
        <w:rPr>
          <w:rFonts w:ascii="Yu Mincho" w:hAnsi="Yu Mincho" w:eastAsia="Yu Mincho"/>
        </w:rPr>
        <w:t>この考え方は、SPAの実践知を学術的な記録へつなぐ。施術者が手で感じる硬さ、敏感さ、防御的な反応、利用者が語る「詰まり」「開かない」「呼吸が通らない」という感覚は、身体緊張、触圧反応、動作、呼吸および回復時間として定義できる。現場経験は、定義、反復観察および比較を通して、共有可能な知識へ変わっていく。</w:t>
      </w:r>
    </w:p>
    <w:p>
      <w:pPr>
        <w:spacing w:line="331" w:lineRule="auto" w:after="120"/>
        <w:ind w:firstLine="408"/>
        <w:jc w:val="both"/>
      </w:pPr>
      <w:r>
        <w:rPr>
          <w:rFonts w:ascii="Yu Mincho" w:hAnsi="Yu Mincho" w:eastAsia="Yu Mincho"/>
        </w:rPr>
        <w:t>森林の多感覚作用も、全体として捉える必要がある。鳥や虫、風、水がつくる音風景、樹木、土壌、水分、微生物および季節がつくる香り、その音と香りが呼び起こす幼少期、故郷、家族の記憶が、同じ時間に重なる。環境の物理化学情報と個人の生活史が同時に働くため、森林浴の体験は一つの成分だけでは説明しきれない。</w:t>
      </w:r>
    </w:p>
    <w:p>
      <w:pPr>
        <w:spacing w:line="331" w:lineRule="auto" w:after="120"/>
        <w:ind w:firstLine="408"/>
        <w:jc w:val="both"/>
      </w:pPr>
      <w:r>
        <w:rPr>
          <w:rFonts w:ascii="Yu Mincho" w:hAnsi="Yu Mincho" w:eastAsia="Yu Mincho"/>
        </w:rPr>
        <w:t>ストレス回復という観点からみると、作用経路は互いに連結している。第一は感覚・注意経路であり、自然の視覚と音風景が、判断を求める情報量を減らし、注意を警戒から環境感覚へ移す。第二は自律神経・内分泌経路であり、呼吸、歩行、触覚、温熱および静かな休息が、交感神経と副交感神経の切替えやコルチゾールなどの変化に関係する。第三は感情・記憶経路であり、親しみのある香りや音が安全感、帰属感および懐かしさを呼び起こす。第四は行動経路であり、体験後に歩く、休む、自然に触れる、睡眠を整えるといった行動が増え、翌日の状態へ影響する。</w:t>
      </w:r>
    </w:p>
    <w:p>
      <w:pPr>
        <w:spacing w:line="331" w:lineRule="auto" w:after="120"/>
        <w:ind w:firstLine="408"/>
        <w:jc w:val="both"/>
      </w:pPr>
      <w:r>
        <w:rPr>
          <w:rFonts w:ascii="Yu Mincho" w:hAnsi="Yu Mincho" w:eastAsia="Yu Mincho"/>
        </w:rPr>
        <w:t>免疫調節と身体回復力は、これらの経路の先に位置づけられる。森林浴研究で報告されたNK細胞および関連タンパク質の変化は、自然接触と免疫機能の関係を検討する手がかりとなる[9,38,54-57,85-88]。初回研究で回復時間の安定した信号を捉えた後、その条件と時点に合わせて免疫、炎症または酸化ストレス指標を追加することが、実践課題に沿った生物学的検証となる。</w:t>
      </w:r>
    </w:p>
    <w:p>
      <w:pPr>
        <w:spacing w:line="331" w:lineRule="auto" w:after="120"/>
        <w:ind w:firstLine="408"/>
        <w:jc w:val="both"/>
      </w:pPr>
      <w:r>
        <w:rPr>
          <w:rFonts w:ascii="Yu Mincho" w:hAnsi="Yu Mincho" w:eastAsia="Yu Mincho"/>
        </w:rPr>
        <w:t>日常の消化感覚も、ストレスと身体の相互作用を観察する身近な窓口である。持続的な緊張に伴って、食欲、胃部の締めつけ感、腹部膨満、排便および睡眠が揺れることがある。初回研究では、1項目の消化快適度を短時間記録に加え、ストレス曲線と同じ方向に動くかを観察する。組合せ条件において、ストレス低下、睡眠回復および消化快適度が同じ方向を示す場合には、次の段階で脳―腸相関を含む研究へ発展させる。</w:t>
      </w:r>
    </w:p>
    <w:p>
      <w:pPr>
        <w:spacing w:line="331" w:lineRule="auto" w:after="120"/>
        <w:ind w:firstLine="408"/>
        <w:jc w:val="both"/>
      </w:pPr>
      <w:r>
        <w:rPr>
          <w:rFonts w:ascii="Yu Mincho" w:hAnsi="Yu Mincho" w:eastAsia="Yu Mincho"/>
        </w:rPr>
        <w:t>自然環境場の概念は、筆者が感じてきた自然の総合的な働きを研究へ開く接点となる。初回研究では場所と体験を詳細に記述し、その後、光、音、空気イオン、植物由来揮発性成分および磁束密度を加える。さらにHRV、コルチゾール、脳波、免疫および睡眠を同時に観察することで、環境側と人体側の時間的な対応を検討できる。</w:t>
      </w:r>
    </w:p>
    <w:p>
      <w:pPr>
        <w:pStyle w:val="Heading1"/>
      </w:pPr>
      <w:r>
        <w:rPr>
          <w:rFonts w:ascii="Yu Gothic" w:hAnsi="Yu Gothic" w:eastAsia="Yu Gothic"/>
        </w:rPr>
        <w:t>7．実践への応用と社会的意義</w:t>
      </w:r>
    </w:p>
    <w:p>
      <w:pPr>
        <w:spacing w:line="331" w:lineRule="auto" w:after="120"/>
        <w:ind w:firstLine="408"/>
        <w:jc w:val="both"/>
      </w:pPr>
      <w:r>
        <w:rPr>
          <w:rFonts w:ascii="Yu Mincho" w:hAnsi="Yu Mincho" w:eastAsia="Yu Mincho"/>
        </w:rPr>
        <w:t>継続的未病ケアの第一の応用は、1回のSPAトリートメントを、前後評価と追跡を伴う回復周期へ変えることである。施術前に基準状態を記録し、施術後の即時変化を確認し、その後、森林浴、温泉浴および24～72時間の追跡を行う。利用者は、自分がどの経路で最も長く安定するかを知ることができる。</w:t>
      </w:r>
    </w:p>
    <w:p>
      <w:pPr>
        <w:spacing w:line="331" w:lineRule="auto" w:after="120"/>
        <w:ind w:firstLine="408"/>
        <w:jc w:val="both"/>
      </w:pPr>
      <w:r>
        <w:rPr>
          <w:rFonts w:ascii="Yu Mincho" w:hAnsi="Yu Mincho" w:eastAsia="Yu Mincho"/>
        </w:rPr>
        <w:t>たとえば、A条件では回復感が24時間、B条件では48時間、C条件では72時間続いた場合、提案は「定期的にSPAを受ける」だけでなく、「SPA後に森林を歩き、その日のうちに温泉で休養する」という具体的な生活計画になる。別の参加者がB条件ですでに最長の持続時間を示すなら、森林浴を主な継続方法とし、温泉は必要に応じて組み合わせることができる。個人の曲線が、その人自身の未病ケア計画になる。</w:t>
      </w:r>
    </w:p>
    <w:p>
      <w:pPr>
        <w:spacing w:line="331" w:lineRule="auto" w:after="120"/>
        <w:ind w:firstLine="408"/>
        <w:jc w:val="both"/>
      </w:pPr>
      <w:r>
        <w:rPr>
          <w:rFonts w:ascii="Yu Mincho" w:hAnsi="Yu Mincho" w:eastAsia="Yu Mincho"/>
        </w:rPr>
        <w:t>第二の応用は、SPA施設、森林セラピー基地および温泉地をつなぐことである。日本の森林医学では、森林セラピー、健康相談、健診および地域づくりを結びつけた実践が報告されている[90]。林野庁も、森林空間と健康、観光および地域産業の連携を推進している[43]。「事前評価―SPAによる始動―森林の多感覚体験―温泉による回復支援―睡眠と翌日の追跡」という流れは、半日型、1日型、宿泊型の各プログラムへ展開できる。</w:t>
      </w:r>
    </w:p>
    <w:p>
      <w:pPr>
        <w:spacing w:line="331" w:lineRule="auto" w:after="120"/>
        <w:ind w:firstLine="408"/>
        <w:jc w:val="both"/>
      </w:pPr>
      <w:r>
        <w:rPr>
          <w:rFonts w:ascii="Yu Mincho" w:hAnsi="Yu Mincho" w:eastAsia="Yu Mincho"/>
        </w:rPr>
        <w:t>半日型ではSPAと森林浴を組み合わせ、1日型では温泉と浴後休息を加え、宿泊型では睡眠と翌朝の回復まで追跡する。共通の短い評価項目を継続すれば、地域ごとに回復データを蓄積できる。森林の樹種、季節、泉質、地域固有の植物の香りは、健康促進と文化、自然資源および観光をつなぐ地域の特性にもなる。</w:t>
      </w:r>
    </w:p>
    <w:p>
      <w:pPr>
        <w:spacing w:line="331" w:lineRule="auto" w:after="120"/>
        <w:ind w:firstLine="408"/>
        <w:jc w:val="both"/>
      </w:pPr>
      <w:r>
        <w:rPr>
          <w:rFonts w:ascii="Yu Mincho" w:hAnsi="Yu Mincho" w:eastAsia="Yu Mincho"/>
        </w:rPr>
        <w:t>第三の応用は、SPA実践者の教育である。施術者は、触圧、筋緊張、呼吸および身体反応を細かく感じ取っている。その経験を、施術前の状態、実施強度、施術後の変化、持続時間および適した自然接触という共通言語で記録することで、1回の施術が、記録、追跡および生活提案を伴う健康支援へ発展する。</w:t>
      </w:r>
    </w:p>
    <w:p>
      <w:pPr>
        <w:spacing w:line="331" w:lineRule="auto" w:after="120"/>
        <w:ind w:firstLine="408"/>
        <w:jc w:val="both"/>
      </w:pPr>
      <w:r>
        <w:rPr>
          <w:rFonts w:ascii="Yu Mincho" w:hAnsi="Yu Mincho" w:eastAsia="Yu Mincho"/>
        </w:rPr>
        <w:t>教育内容には「自然へのつなぎ方」を加えることができる。利用者の音の好み、香りの記憶、歩行能力および温熱への耐性を踏まえ、日常で実行できる自然接触を提案する。都市生活者には、樹木の多い公園、河川沿いの緑地、自然音を感じられる歩行ルートを紹介し、温泉地へ行ける人には1日の回復経路を組み立てる。専門性は手技だけでなく、回復過程全体の設計と追跡へ広がる。</w:t>
      </w:r>
    </w:p>
    <w:p>
      <w:pPr>
        <w:spacing w:line="331" w:lineRule="auto" w:after="120"/>
        <w:ind w:firstLine="408"/>
        <w:jc w:val="both"/>
      </w:pPr>
      <w:r>
        <w:rPr>
          <w:rFonts w:ascii="Yu Mincho" w:hAnsi="Yu Mincho" w:eastAsia="Yu Mincho"/>
        </w:rPr>
        <w:t>第四の応用は、企業のストレスケア、中高年の健康増進およびウェルネスツーリズムである。都市公園、河川緑地、職場周辺の林も、日常的な自然接触の場になる。温泉地では、森林、泉質、地域植物、宿泊および文化体験を一体化できる。世界保健機関と国際自然保護連合は、自然環境を健康増進の資源として位置づけており[41,80]、日本森林医学会も森林浴実践、温泉浴、未病ケアおよび地域活動を研究対象としている[44]。本モデルは、これらの資源を一つの回復経路へ結び、継続的にデータを蓄積する基盤となる。</w:t>
      </w:r>
    </w:p>
    <w:p>
      <w:pPr>
        <w:pStyle w:val="Heading1"/>
      </w:pPr>
      <w:r>
        <w:rPr>
          <w:rFonts w:ascii="Yu Gothic" w:hAnsi="Yu Gothic" w:eastAsia="Yu Gothic"/>
        </w:rPr>
        <w:t>8．研究段階と今後の展開</w:t>
      </w:r>
    </w:p>
    <w:p>
      <w:pPr>
        <w:spacing w:line="331" w:lineRule="auto" w:after="120"/>
        <w:ind w:firstLine="408"/>
        <w:jc w:val="both"/>
      </w:pPr>
      <w:r>
        <w:rPr>
          <w:rFonts w:ascii="Yu Mincho" w:hAnsi="Yu Mincho" w:eastAsia="Yu Mincho"/>
        </w:rPr>
        <w:t>6名がA、B、Cの三条件を順に各1回経験する初回研究は、手順の実行可能性、段階的な変化、個人曲線および持続時間の範囲を把握する段階である。次の段階では、完遂率、個人差および典型的な持続時間を踏まえて参加者数を増やし、同じA、B、Cの手順を繰り返すことで、段階的な変化が再現するかを検討する。</w:t>
      </w:r>
    </w:p>
    <w:p>
      <w:pPr>
        <w:spacing w:line="331" w:lineRule="auto" w:after="120"/>
        <w:ind w:firstLine="408"/>
        <w:jc w:val="both"/>
      </w:pPr>
      <w:r>
        <w:rPr>
          <w:rFonts w:ascii="Yu Mincho" w:hAnsi="Yu Mincho" w:eastAsia="Yu Mincho"/>
        </w:rPr>
        <w:t>第一段階で扱うのは、SPAで始動し、森林で深め、温泉で支える現実的なケア経路であり、段階の進行に伴って総所要時間と体験内容が増える。まず、段階的な延長傾向が明瞭か、複数の参加者に繰り返し現れるかを確認する。次の段階では、強い信号が現れた段階を中心に、同時間の安静休息、詳細な環境記録および客観的生理測定を加える。森林、SPAおよび温泉に対する期待も各セッション前に簡潔に記録し、結果を解釈する背景情報とする。</w:t>
      </w:r>
    </w:p>
    <w:p>
      <w:pPr>
        <w:spacing w:line="331" w:lineRule="auto" w:after="120"/>
        <w:ind w:firstLine="408"/>
        <w:jc w:val="both"/>
      </w:pPr>
      <w:r>
        <w:rPr>
          <w:rFonts w:ascii="Yu Mincho" w:hAnsi="Yu Mincho" w:eastAsia="Yu Mincho"/>
        </w:rPr>
        <w:t>季節、天候、樹種、ルート、泉質、睡眠および当日の生活ストレスは、回復曲線に影響する。初回研究では、同じ時間帯、7日以上の間隔、開始時の状態記録および環境記録によって主要な変動を把握する。研究規模を拡大する際には、参加者数と反復回数を増やし、地域・文化背景による層別解析および客観的生理測定へ進む。</w:t>
      </w:r>
    </w:p>
    <w:p>
      <w:pPr>
        <w:spacing w:line="331" w:lineRule="auto" w:after="120"/>
        <w:ind w:firstLine="408"/>
        <w:jc w:val="both"/>
      </w:pPr>
      <w:r>
        <w:rPr>
          <w:rFonts w:ascii="Yu Mincho" w:hAnsi="Yu Mincho" w:eastAsia="Yu Mincho"/>
        </w:rPr>
        <w:t>脳波、免疫、炎症、酸化ストレス、テロメアおよび環境磁場は、回復曲線と適切な測定時点が明らかになった後に扱う長期的課題である。この順序により、参加者の負担を抑えながら、各機器と生体指標を明確な研究課題へ対応させることができる。</w:t>
      </w:r>
    </w:p>
    <w:p>
      <w:pPr>
        <w:pStyle w:val="Heading2"/>
      </w:pPr>
      <w:r>
        <w:rPr>
          <w:rFonts w:ascii="Yu Gothic" w:hAnsi="Yu Gothic" w:eastAsia="Yu Gothic"/>
        </w:rPr>
        <w:t>8.1　アジアとヨーロッパにおける共同研究への展開</w:t>
      </w:r>
    </w:p>
    <w:p>
      <w:pPr/>
      <w:r>
        <w:rPr>
          <w:rFonts w:ascii="Yu Mincho" w:hAnsi="Yu Mincho" w:eastAsia="Yu Mincho"/>
        </w:rPr>
        <w:t>本研究体制には、日本の研究者に加え、ルーマニアおよびセルビアの共同研究者が参加している。次の段階では共通の研究手順書を用い、日本、ルーマニア、セルビアなどで現地の成人を募集する。各参加者は、SPA、SPA＋森林浴、SPA＋森林浴＋温泉浴の順に三段階を経験する。共同研究者は、手順書の現地確認、実施者研修、現場調整、記録管理および品質確認を担当する。参加者データは、各地域で正式に募集し、同意を得た成人から収集する。共同研究者が介入を体験する場合は、研究者とは別に参加者として登録し、同一基準で記録する。</w:t>
      </w:r>
    </w:p>
    <w:p>
      <w:pPr/>
      <w:r>
        <w:rPr>
          <w:rFonts w:ascii="Yu Mincho" w:hAnsi="Yu Mincho" w:eastAsia="Yu Mincho"/>
        </w:rPr>
        <w:t>各地域で、SPAの基本手順、評価時点、主要評価項目およびA→B→Cの実施順序を共通化する。同時に、参加者の自然接触経験、入浴文化、SPA経験、生活リズム、森林環境および温泉条件を記録する。分析は、まず各地域の参加者ごとに三段階の連続的推移を示し、次に、その地域で段階的延長を示した人数と代表的持続時間をまとめる。各地域で十分な資料が得られた後、同じモデルがアジアとヨーロッパの異なる環境でも再現されるかを検討し、森林条件、温泉条件、生活文化および実施環境に基づいて延長幅と個人差を解釈する。</w:t>
      </w:r>
    </w:p>
    <w:p>
      <w:pPr/>
      <w:r>
        <w:rPr>
          <w:rFonts w:ascii="Yu Mincho" w:hAnsi="Yu Mincho" w:eastAsia="Yu Mincho"/>
        </w:rPr>
        <w:t>この共同研究は、継続的未病ケアモデルが異なる地域で再現されるかを主軸とし、各地域に共通する回復構造と、自然環境、温泉資源および生活文化に応じて調整すべき実践要素を明らかにする。これにより、森林医学、温泉文化、SPA実践および国際共同実施を結ぶ協働枠組みへ発展させる。</w:t>
      </w:r>
    </w:p>
    <w:p>
      <w:pPr>
        <w:pStyle w:val="Heading1"/>
      </w:pPr>
      <w:r>
        <w:rPr>
          <w:rFonts w:ascii="Yu Gothic" w:hAnsi="Yu Gothic" w:eastAsia="Yu Gothic"/>
        </w:rPr>
        <w:t>9．結論</w:t>
      </w:r>
    </w:p>
    <w:p>
      <w:pPr>
        <w:spacing w:line="331" w:lineRule="auto" w:after="120"/>
        <w:ind w:firstLine="408"/>
        <w:jc w:val="both"/>
      </w:pPr>
      <w:r>
        <w:rPr>
          <w:rFonts w:ascii="Yu Mincho" w:hAnsi="Yu Mincho" w:eastAsia="Yu Mincho"/>
        </w:rPr>
        <w:t>本稿は、森林の多感覚環境を中核に、SPAトリートメント、森林浴、温泉浴および日常的な自然接触をつなぐ継続的未病ケアモデルを構築した。SPAは、自然の感覚要素を室内に再構成し、触覚、温度およびリズムによって身体が調整へ向かう入口をつくる。森林浴は、光、風、音、香り、植物由来揮発性成分、地形および生命活動を含む実自然へ身体を置き、その結びつきを深める。温泉浴は、温熱、浮力、泉質および休息によって回復を支える。日常的な自然接触は、1回の体験を継続可能な生活習慣へ移していく。</w:t>
      </w:r>
    </w:p>
    <w:p>
      <w:pPr>
        <w:spacing w:line="331" w:lineRule="auto" w:after="120"/>
        <w:ind w:firstLine="408"/>
        <w:jc w:val="both"/>
      </w:pPr>
      <w:r>
        <w:rPr>
          <w:rFonts w:ascii="Yu Mincho" w:hAnsi="Yu Mincho" w:eastAsia="Yu Mincho"/>
        </w:rPr>
        <w:t>この理論を現場で検証するため、本稿は、参加者6名、三段階、合計18セッションからなる段階的な被験者内反復測定型パイロット研究を提案した。主観的ストレス、身体回復感、身体緊張感および回復持続時間を中心に72時間後まで記録し、回復感が残る場合は7日目まで追跡する。問うのは、長年のケア現場から生まれた実践的な時間の問題である。SPAによって始まった軽さはどの程度続くのか。実際の森林はその状態を延ばすのか。さらに温泉浴は、連続経路の最後に回復を支えられるのか。</w:t>
      </w:r>
    </w:p>
    <w:p>
      <w:pPr>
        <w:spacing w:line="331" w:lineRule="auto" w:after="120"/>
        <w:ind w:firstLine="408"/>
        <w:jc w:val="both"/>
      </w:pPr>
      <w:r>
        <w:rPr>
          <w:rFonts w:ascii="Yu Mincho" w:hAnsi="Yu Mincho" w:eastAsia="Yu Mincho"/>
        </w:rPr>
        <w:t>本モデルの要点は、次のようにまとめられる。</w:t>
      </w:r>
    </w:p>
    <w:p>
      <w:pPr>
        <w:ind w:left="454" w:right="283"/>
      </w:pPr>
      <w:r>
        <w:rPr>
          <w:rFonts w:ascii="Yu Mincho" w:hAnsi="Yu Mincho" w:eastAsia="Yu Mincho"/>
        </w:rPr>
        <w:t>SPAは身体の調整を始動し、森林浴は人を実際の多感覚自然環境へ導き、温泉浴は水熱と休養によって回復を支える。時間を追って記録することで、実践のなかの「楽になった」という感覚を、「どの程度変わり、何時間続き、誰にどの経路が適するか」という研究知へ変える。</w:t>
      </w:r>
    </w:p>
    <w:p>
      <w:pPr>
        <w:pStyle w:val="Heading1"/>
      </w:pPr>
      <w:r>
        <w:rPr>
          <w:rFonts w:ascii="Yu Gothic" w:hAnsi="Yu Gothic" w:eastAsia="Yu Gothic"/>
        </w:rPr>
        <w:t>利益相反および研究資金</w:t>
      </w:r>
    </w:p>
    <w:p>
      <w:pPr>
        <w:spacing w:line="331" w:lineRule="auto" w:after="120"/>
        <w:ind w:firstLine="408"/>
        <w:jc w:val="both"/>
      </w:pPr>
      <w:r>
        <w:rPr>
          <w:rFonts w:ascii="Yu Mincho" w:hAnsi="Yu Mincho" w:eastAsia="Yu Mincho"/>
        </w:rPr>
        <w:t>本研究計画は、筆者が長年のSPAおよび健康ケア実践をもとに独自に構想した。研究を実施する際には、研究資金、施設協力、施術サービス、温泉施設および森林フィールドとの協力関係を登録し、研究成果とともに開示する。</w:t>
      </w:r>
    </w:p>
    <w:p>
      <w:pPr>
        <w:pStyle w:val="Heading1"/>
      </w:pPr>
      <w:r>
        <w:rPr>
          <w:rFonts w:ascii="Yu Gothic" w:hAnsi="Yu Gothic" w:eastAsia="Yu Gothic"/>
        </w:rPr>
        <w:t>著者の貢献</w:t>
      </w:r>
    </w:p>
    <w:p>
      <w:pPr>
        <w:spacing w:line="331" w:lineRule="auto" w:after="120"/>
        <w:ind w:firstLine="408"/>
        <w:jc w:val="both"/>
      </w:pPr>
      <w:r>
        <w:rPr>
          <w:rFonts w:ascii="Yu Mincho" w:hAnsi="Yu Mincho" w:eastAsia="Yu Mincho"/>
        </w:rPr>
        <w:t>石原美惠子は、研究課題、継続的未病ケアの概念および実践手順を構想し、SPAトリートメントの標準化、現場観察の枠組みならびに研究成果の実践への展開を担当する。張 維昌は、研究調整および共同研究に参加する。クリスティーナ＝エレナ・ストイカ博士は、ヨーロッパ地域の研究手順調整、身体機能評価および資料解釈に参加する。プレドラグ・フィリポヴィッチは、ヨーロッパ地域におけるSPA・ウェルネス手順の研修、現場実施および実践プログラムの開発に参加する。</w:t>
      </w:r>
    </w:p>
    <w:p>
      <w:pPr>
        <w:pStyle w:val="Heading1"/>
      </w:pPr>
      <w:r>
        <w:rPr>
          <w:rFonts w:ascii="Yu Gothic" w:hAnsi="Yu Gothic" w:eastAsia="Yu Gothic"/>
        </w:rPr>
        <w:t>参考文献</w:t>
      </w:r>
    </w:p>
    <w:p>
      <w:pPr>
        <w:spacing w:line="240" w:lineRule="auto" w:after="16"/>
        <w:jc w:val="both"/>
      </w:pPr>
      <w:r>
        <w:rPr>
          <w:rFonts w:ascii="Arial" w:hAnsi="Arial" w:eastAsia="Microsoft YaHei"/>
          <w:b w:val="0"/>
          <w:i w:val="0"/>
          <w:color w:val="1C1F1E"/>
          <w:sz w:val="17"/>
        </w:rPr>
        <w:t xml:space="preserve">1. Turner AI, Smyth N, Hall SJ, Torres SJ, Hussein M, Jayasinghe SU, et al. Psychological stress reactivity and future health and disease outcomes: a systematic review of prospective evidence. Psychoneuroendocrinology. 2020;114:104599. doi:10.1016/j.psyneuen.2020.104599. </w:t>
      </w:r>
      <w:hyperlink r:id="rId11" w:history="1">
        <w:r>
          <w:rPr>
            <w:rFonts w:ascii="Arial" w:hAnsi="Arial" w:eastAsia="Microsoft YaHei"/>
            <w:color w:val="0563C1"/>
            <w:u w:val="single"/>
            <w:sz w:val="17"/>
          </w:rPr>
          <w:t>https://pubmed.ncbi.nlm.nih.gov/32045797/</w:t>
        </w:r>
      </w:hyperlink>
    </w:p>
    <w:p>
      <w:pPr>
        <w:spacing w:line="240" w:lineRule="auto" w:after="16"/>
        <w:jc w:val="both"/>
      </w:pPr>
      <w:r>
        <w:rPr>
          <w:rFonts w:ascii="Arial" w:hAnsi="Arial" w:eastAsia="Microsoft YaHei"/>
          <w:b w:val="0"/>
          <w:i w:val="0"/>
          <w:color w:val="1C1F1E"/>
          <w:sz w:val="17"/>
        </w:rPr>
        <w:t xml:space="preserve">2. Barry V, Stout ME, Lynch ME, Mattis S, Tran DQ, Antun A, et al. The effect of psychological distress on health outcomes: a systematic review and meta-analysis of prospective studies. J Health Psychol. 2020;25(2):227-239. doi:10.1177/1359105319842931. </w:t>
      </w:r>
      <w:hyperlink r:id="rId12" w:history="1">
        <w:r>
          <w:rPr>
            <w:rFonts w:ascii="Arial" w:hAnsi="Arial" w:eastAsia="Microsoft YaHei"/>
            <w:color w:val="0563C1"/>
            <w:u w:val="single"/>
            <w:sz w:val="17"/>
          </w:rPr>
          <w:t>https://pubmed.ncbi.nlm.nih.gov/30973027/</w:t>
        </w:r>
      </w:hyperlink>
    </w:p>
    <w:p>
      <w:pPr>
        <w:spacing w:line="240" w:lineRule="auto" w:after="16"/>
        <w:jc w:val="both"/>
      </w:pPr>
      <w:r>
        <w:rPr>
          <w:rFonts w:ascii="Arial" w:hAnsi="Arial" w:eastAsia="Microsoft YaHei"/>
          <w:b w:val="0"/>
          <w:i w:val="0"/>
          <w:color w:val="1C1F1E"/>
          <w:sz w:val="17"/>
        </w:rPr>
        <w:t xml:space="preserve">3. Li Q. Effects of forest environment (Shinrin-yoku/Forest bathing) on health promotion and disease prevention—the establishment of Forest Medicine. Environ Health Prev Med. 2022;27:43. doi:10.1265/ehpm.22-00160. </w:t>
      </w:r>
      <w:hyperlink r:id="rId13" w:history="1">
        <w:r>
          <w:rPr>
            <w:rFonts w:ascii="Arial" w:hAnsi="Arial" w:eastAsia="Microsoft YaHei"/>
            <w:color w:val="0563C1"/>
            <w:u w:val="single"/>
            <w:sz w:val="17"/>
          </w:rPr>
          <w:t>https://pubmed.ncbi.nlm.nih.gov/36328581/</w:t>
        </w:r>
      </w:hyperlink>
    </w:p>
    <w:p>
      <w:pPr>
        <w:spacing w:line="240" w:lineRule="auto" w:after="16"/>
        <w:jc w:val="both"/>
      </w:pPr>
      <w:r>
        <w:rPr>
          <w:rFonts w:ascii="Arial" w:hAnsi="Arial" w:eastAsia="Microsoft YaHei"/>
          <w:b w:val="0"/>
          <w:i w:val="0"/>
          <w:color w:val="1C1F1E"/>
          <w:sz w:val="17"/>
        </w:rPr>
        <w:t xml:space="preserve">4. Park BJ, Tsunetsugu Y, Kasetani T, Kagawa T, Miyazaki Y. The physiological effects of Shinrin-yoku: evidence from field experiments in 24 forests across Japan. Environ Health Prev Med. 2010;15(1):18-26. doi:10.1007/s12199-009-0086-9. </w:t>
      </w:r>
      <w:hyperlink r:id="rId14" w:history="1">
        <w:r>
          <w:rPr>
            <w:rFonts w:ascii="Arial" w:hAnsi="Arial" w:eastAsia="Microsoft YaHei"/>
            <w:color w:val="0563C1"/>
            <w:u w:val="single"/>
            <w:sz w:val="17"/>
          </w:rPr>
          <w:t>https://pubmed.ncbi.nlm.nih.gov/19568835/</w:t>
        </w:r>
      </w:hyperlink>
    </w:p>
    <w:p>
      <w:pPr>
        <w:spacing w:line="240" w:lineRule="auto" w:after="16"/>
        <w:jc w:val="both"/>
      </w:pPr>
      <w:r>
        <w:rPr>
          <w:rFonts w:ascii="Arial" w:hAnsi="Arial" w:eastAsia="Microsoft YaHei"/>
          <w:b w:val="0"/>
          <w:i w:val="0"/>
          <w:color w:val="1C1F1E"/>
          <w:sz w:val="17"/>
        </w:rPr>
        <w:t xml:space="preserve">5. Antonelli M, Barbieri G, Donelli D. Effects of forest bathing on levels of cortisol as a stress biomarker: a systematic review and meta-analysis. Int J Biometeorol. 2019;63(8):1117-1134. doi:10.1007/s00484-019-01717-x. </w:t>
      </w:r>
      <w:hyperlink r:id="rId15" w:history="1">
        <w:r>
          <w:rPr>
            <w:rFonts w:ascii="Arial" w:hAnsi="Arial" w:eastAsia="Microsoft YaHei"/>
            <w:color w:val="0563C1"/>
            <w:u w:val="single"/>
            <w:sz w:val="17"/>
          </w:rPr>
          <w:t>https://pubmed.ncbi.nlm.nih.gov/31001682/</w:t>
        </w:r>
      </w:hyperlink>
    </w:p>
    <w:p>
      <w:pPr>
        <w:spacing w:line="240" w:lineRule="auto" w:after="16"/>
        <w:jc w:val="both"/>
      </w:pPr>
      <w:r>
        <w:rPr>
          <w:rFonts w:ascii="Arial" w:hAnsi="Arial" w:eastAsia="Microsoft YaHei"/>
          <w:b w:val="0"/>
          <w:i w:val="0"/>
          <w:color w:val="1C1F1E"/>
          <w:sz w:val="17"/>
        </w:rPr>
        <w:t xml:space="preserve">6. Siah CJR, Goh YS, Lee J, Poon SN, Ow Yong JQY, Tam WW. The effects of forest bathing on psychological well-being: a systematic review and meta-analysis. Int J Ment Health Nurs. 2023;32(4):1038-1054. doi:10.1111/inm.13131. </w:t>
      </w:r>
      <w:hyperlink r:id="rId16" w:history="1">
        <w:r>
          <w:rPr>
            <w:rFonts w:ascii="Arial" w:hAnsi="Arial" w:eastAsia="Microsoft YaHei"/>
            <w:color w:val="0563C1"/>
            <w:u w:val="single"/>
            <w:sz w:val="17"/>
          </w:rPr>
          <w:t>https://pubmed.ncbi.nlm.nih.gov/36864583/</w:t>
        </w:r>
      </w:hyperlink>
    </w:p>
    <w:p>
      <w:pPr>
        <w:spacing w:line="240" w:lineRule="auto" w:after="16"/>
        <w:jc w:val="both"/>
      </w:pPr>
      <w:r>
        <w:rPr>
          <w:rFonts w:ascii="Arial" w:hAnsi="Arial" w:eastAsia="Microsoft YaHei"/>
          <w:b w:val="0"/>
          <w:i w:val="0"/>
          <w:color w:val="1C1F1E"/>
          <w:sz w:val="17"/>
        </w:rPr>
        <w:t xml:space="preserve">7. Queirolo L, Fazia T, Roccon A, Pistollato E, Gatti L, Bernardinelli L, et al. Effects of forest bathing (Shinrin-yoku) in stressed people. Front Psychol. 2024;15:1458418. doi:10.3389/fpsyg.2024.1458418. </w:t>
      </w:r>
      <w:hyperlink r:id="rId17" w:history="1">
        <w:r>
          <w:rPr>
            <w:rFonts w:ascii="Arial" w:hAnsi="Arial" w:eastAsia="Microsoft YaHei"/>
            <w:color w:val="0563C1"/>
            <w:u w:val="single"/>
            <w:sz w:val="17"/>
          </w:rPr>
          <w:t>https://pubmed.ncbi.nlm.nih.gov/39554703/</w:t>
        </w:r>
      </w:hyperlink>
    </w:p>
    <w:p>
      <w:pPr>
        <w:spacing w:line="240" w:lineRule="auto" w:after="16"/>
        <w:jc w:val="both"/>
      </w:pPr>
      <w:r>
        <w:rPr>
          <w:rFonts w:ascii="Arial" w:hAnsi="Arial" w:eastAsia="Microsoft YaHei"/>
          <w:b w:val="0"/>
          <w:i w:val="0"/>
          <w:color w:val="1C1F1E"/>
          <w:sz w:val="17"/>
        </w:rPr>
        <w:t xml:space="preserve">8. Andrade AM, Durães SF, Franco Netto LCR, Fenner ALD, Carvalho MAB, Franco Netto G. Short-term cardiovascular and mental health responses to Shinrin-Yoku: a systematic review and meta-analysis. Front Psychol. 2026;17:1707829. doi:10.3389/fpsyg.2026.1707829. </w:t>
      </w:r>
      <w:hyperlink r:id="rId18" w:history="1">
        <w:r>
          <w:rPr>
            <w:rFonts w:ascii="Arial" w:hAnsi="Arial" w:eastAsia="Microsoft YaHei"/>
            <w:color w:val="0563C1"/>
            <w:u w:val="single"/>
            <w:sz w:val="17"/>
          </w:rPr>
          <w:t>https://pubmed.ncbi.nlm.nih.gov/41756503/</w:t>
        </w:r>
      </w:hyperlink>
    </w:p>
    <w:p>
      <w:pPr>
        <w:spacing w:line="240" w:lineRule="auto" w:after="16"/>
        <w:jc w:val="both"/>
      </w:pPr>
      <w:r>
        <w:rPr>
          <w:rFonts w:ascii="Arial" w:hAnsi="Arial" w:eastAsia="Microsoft YaHei"/>
          <w:b w:val="0"/>
          <w:i w:val="0"/>
          <w:color w:val="1C1F1E"/>
          <w:sz w:val="17"/>
        </w:rPr>
        <w:t xml:space="preserve">9. Li Q. Effect of forest bathing trips on human immune function. Environ Health Prev Med. 2010;15(1):9-17. doi:10.1007/s12199-008-0068-3. </w:t>
      </w:r>
      <w:hyperlink r:id="rId19" w:history="1">
        <w:r>
          <w:rPr>
            <w:rFonts w:ascii="Arial" w:hAnsi="Arial" w:eastAsia="Microsoft YaHei"/>
            <w:color w:val="0563C1"/>
            <w:u w:val="single"/>
            <w:sz w:val="17"/>
          </w:rPr>
          <w:t>https://pubmed.ncbi.nlm.nih.gov/19568839/</w:t>
        </w:r>
      </w:hyperlink>
    </w:p>
    <w:p>
      <w:pPr>
        <w:spacing w:line="240" w:lineRule="auto" w:after="16"/>
        <w:jc w:val="both"/>
      </w:pPr>
      <w:r>
        <w:rPr>
          <w:rFonts w:ascii="Arial" w:hAnsi="Arial" w:eastAsia="Microsoft YaHei"/>
          <w:b w:val="0"/>
          <w:i w:val="0"/>
          <w:color w:val="1C1F1E"/>
          <w:sz w:val="17"/>
        </w:rPr>
        <w:t xml:space="preserve">10. Cho KS, Lim YR, Lee K, Lee J, Lee JH, Lee IS. Terpenes from forests and human health. Toxicol Res. 2017;33(2):97-106. doi:10.5487/TR.2017.33.2.097. </w:t>
      </w:r>
      <w:hyperlink r:id="rId20" w:history="1">
        <w:r>
          <w:rPr>
            <w:rFonts w:ascii="Arial" w:hAnsi="Arial" w:eastAsia="Microsoft YaHei"/>
            <w:color w:val="0563C1"/>
            <w:u w:val="single"/>
            <w:sz w:val="17"/>
          </w:rPr>
          <w:t>https://pubmed.ncbi.nlm.nih.gov/28443180/</w:t>
        </w:r>
      </w:hyperlink>
    </w:p>
    <w:p>
      <w:pPr>
        <w:spacing w:line="240" w:lineRule="auto" w:after="16"/>
        <w:jc w:val="both"/>
      </w:pPr>
      <w:r>
        <w:rPr>
          <w:rFonts w:ascii="Arial" w:hAnsi="Arial" w:eastAsia="Microsoft YaHei"/>
          <w:b w:val="0"/>
          <w:i w:val="0"/>
          <w:color w:val="1C1F1E"/>
          <w:sz w:val="17"/>
        </w:rPr>
        <w:t xml:space="preserve">11. Alvarsson JJ, Wiens S, Nilsson ME. Stress recovery during exposure to nature sound and environmental noise. Int J Environ Res Public Health. 2010;7(3):1036-1046. doi:10.3390/ijerph7031036. </w:t>
      </w:r>
      <w:hyperlink r:id="rId21" w:history="1">
        <w:r>
          <w:rPr>
            <w:rFonts w:ascii="Arial" w:hAnsi="Arial" w:eastAsia="Microsoft YaHei"/>
            <w:color w:val="0563C1"/>
            <w:u w:val="single"/>
            <w:sz w:val="17"/>
          </w:rPr>
          <w:t>https://pubmed.ncbi.nlm.nih.gov/20617017/</w:t>
        </w:r>
      </w:hyperlink>
    </w:p>
    <w:p>
      <w:pPr>
        <w:spacing w:line="240" w:lineRule="auto" w:after="16"/>
        <w:jc w:val="both"/>
      </w:pPr>
      <w:r>
        <w:rPr>
          <w:rFonts w:ascii="Arial" w:hAnsi="Arial" w:eastAsia="Microsoft YaHei"/>
          <w:b w:val="0"/>
          <w:i w:val="0"/>
          <w:color w:val="1C1F1E"/>
          <w:sz w:val="17"/>
        </w:rPr>
        <w:t xml:space="preserve">12. Zhu R, Yuan L, Pan Y, Wang Y, Xiu D, Liu W. Effects of natural sound exposure on health recovery: a systematic review and meta-analysis. Sci Total Environ. 2024;921:171052. doi:10.1016/j.scitotenv.2024.171052. </w:t>
      </w:r>
      <w:hyperlink r:id="rId22" w:history="1">
        <w:r>
          <w:rPr>
            <w:rFonts w:ascii="Arial" w:hAnsi="Arial" w:eastAsia="Microsoft YaHei"/>
            <w:color w:val="0563C1"/>
            <w:u w:val="single"/>
            <w:sz w:val="17"/>
          </w:rPr>
          <w:t>https://pubmed.ncbi.nlm.nih.gov/38373459/</w:t>
        </w:r>
      </w:hyperlink>
    </w:p>
    <w:p>
      <w:pPr>
        <w:spacing w:line="240" w:lineRule="auto" w:after="16"/>
        <w:jc w:val="both"/>
      </w:pPr>
      <w:r>
        <w:rPr>
          <w:rFonts w:ascii="Arial" w:hAnsi="Arial" w:eastAsia="Microsoft YaHei"/>
          <w:b w:val="0"/>
          <w:i w:val="0"/>
          <w:color w:val="1C1F1E"/>
          <w:sz w:val="17"/>
        </w:rPr>
        <w:t xml:space="preserve">13. Kumpulainen S, Esmaeilzadeh S, Pesonen M, Brazão C, Pesola AJ. Enhancing psychophysiological well-being through nature-based soundscapes: an examination of heart rate variability in a cross-over study. Psychophysiology. 2025;62(1):e14760. doi:10.1111/psyp.14760. </w:t>
      </w:r>
      <w:hyperlink r:id="rId23" w:history="1">
        <w:r>
          <w:rPr>
            <w:rFonts w:ascii="Arial" w:hAnsi="Arial" w:eastAsia="Microsoft YaHei"/>
            <w:color w:val="0563C1"/>
            <w:u w:val="single"/>
            <w:sz w:val="17"/>
          </w:rPr>
          <w:t>https://pubmed.ncbi.nlm.nih.gov/39803887/</w:t>
        </w:r>
      </w:hyperlink>
    </w:p>
    <w:p>
      <w:pPr>
        <w:spacing w:line="240" w:lineRule="auto" w:after="16"/>
        <w:jc w:val="both"/>
      </w:pPr>
      <w:r>
        <w:rPr>
          <w:rFonts w:ascii="Arial" w:hAnsi="Arial" w:eastAsia="Microsoft YaHei"/>
          <w:b w:val="0"/>
          <w:i w:val="0"/>
          <w:color w:val="1C1F1E"/>
          <w:sz w:val="17"/>
        </w:rPr>
        <w:t xml:space="preserve">14. Hackländer RPM, Janssen SMJ, Bermeitinger C. An in-depth review of the methods, findings, and theories associated with odor-evoked autobiographical memory. Psychon Bull Rev. 2019;26(2):401-429. doi:10.3758/s13423-018-1545-3. </w:t>
      </w:r>
      <w:hyperlink r:id="rId24" w:history="1">
        <w:r>
          <w:rPr>
            <w:rFonts w:ascii="Arial" w:hAnsi="Arial" w:eastAsia="Microsoft YaHei"/>
            <w:color w:val="0563C1"/>
            <w:u w:val="single"/>
            <w:sz w:val="17"/>
          </w:rPr>
          <w:t>https://pubmed.ncbi.nlm.nih.gov/30406397/</w:t>
        </w:r>
      </w:hyperlink>
    </w:p>
    <w:p>
      <w:pPr>
        <w:spacing w:line="240" w:lineRule="auto" w:after="16"/>
        <w:jc w:val="both"/>
      </w:pPr>
      <w:r>
        <w:rPr>
          <w:rFonts w:ascii="Arial" w:hAnsi="Arial" w:eastAsia="Microsoft YaHei"/>
          <w:b w:val="0"/>
          <w:i w:val="0"/>
          <w:color w:val="1C1F1E"/>
          <w:sz w:val="17"/>
        </w:rPr>
        <w:t xml:space="preserve">15. Herz RS. The role of odor-evoked memory in psychological and physiological health. Brain Sci. 2016;6(3):22. doi:10.3390/brainsci6030022. </w:t>
      </w:r>
      <w:hyperlink r:id="rId25" w:history="1">
        <w:r>
          <w:rPr>
            <w:rFonts w:ascii="Arial" w:hAnsi="Arial" w:eastAsia="Microsoft YaHei"/>
            <w:color w:val="0563C1"/>
            <w:u w:val="single"/>
            <w:sz w:val="17"/>
          </w:rPr>
          <w:t>https://pubmed.ncbi.nlm.nih.gov/27447673/</w:t>
        </w:r>
      </w:hyperlink>
    </w:p>
    <w:p>
      <w:pPr>
        <w:spacing w:line="240" w:lineRule="auto" w:after="16"/>
        <w:jc w:val="both"/>
      </w:pPr>
      <w:r>
        <w:rPr>
          <w:rFonts w:ascii="Arial" w:hAnsi="Arial" w:eastAsia="Microsoft YaHei"/>
          <w:b w:val="0"/>
          <w:i w:val="0"/>
          <w:color w:val="1C1F1E"/>
          <w:sz w:val="17"/>
        </w:rPr>
        <w:t xml:space="preserve">16. Packheiser J, Hartmann H, Fredriksen K, Gazzola V, Keysers C, Michon F. A systematic review and multivariate meta-analysis of the physical and mental health benefits of touch interventions. Nat Hum Behav. 2024;8(6):1088-1107. doi:10.1038/s41562-024-01841-8. </w:t>
      </w:r>
      <w:hyperlink r:id="rId26" w:history="1">
        <w:r>
          <w:rPr>
            <w:rFonts w:ascii="Arial" w:hAnsi="Arial" w:eastAsia="Microsoft YaHei"/>
            <w:color w:val="0563C1"/>
            <w:u w:val="single"/>
            <w:sz w:val="17"/>
          </w:rPr>
          <w:t>https://pubmed.ncbi.nlm.nih.gov/38589702/</w:t>
        </w:r>
      </w:hyperlink>
    </w:p>
    <w:p>
      <w:pPr>
        <w:spacing w:line="240" w:lineRule="auto" w:after="16"/>
        <w:jc w:val="both"/>
      </w:pPr>
      <w:r>
        <w:rPr>
          <w:rFonts w:ascii="Arial" w:hAnsi="Arial" w:eastAsia="Microsoft YaHei"/>
          <w:b w:val="0"/>
          <w:i w:val="0"/>
          <w:color w:val="1C1F1E"/>
          <w:sz w:val="17"/>
        </w:rPr>
        <w:t xml:space="preserve">17. Morhenn V, Beavin LE, Zak PJ. Massage increases oxytocin and reduces adrenocorticotropin hormone in humans. Altern Ther Health Med. 2012;18(6):11-18. </w:t>
      </w:r>
      <w:hyperlink r:id="rId27" w:history="1">
        <w:r>
          <w:rPr>
            <w:rFonts w:ascii="Arial" w:hAnsi="Arial" w:eastAsia="Microsoft YaHei"/>
            <w:color w:val="0563C1"/>
            <w:u w:val="single"/>
            <w:sz w:val="17"/>
          </w:rPr>
          <w:t>https://pubmed.ncbi.nlm.nih.gov/23251939/</w:t>
        </w:r>
      </w:hyperlink>
    </w:p>
    <w:p>
      <w:pPr>
        <w:spacing w:line="240" w:lineRule="auto" w:after="16"/>
        <w:jc w:val="both"/>
      </w:pPr>
      <w:r>
        <w:rPr>
          <w:rFonts w:ascii="Arial" w:hAnsi="Arial" w:eastAsia="Microsoft YaHei"/>
          <w:b w:val="0"/>
          <w:i w:val="0"/>
          <w:color w:val="1C1F1E"/>
          <w:sz w:val="17"/>
        </w:rPr>
        <w:t xml:space="preserve">18. Rapaport MH, Schettler P, Breese C. A preliminary study of the effects of a single session of Swedish massage on hypothalamic-pituitary-adrenal and immune function in normal individuals. J Altern Complement Med. 2010;16(10):1079-1088. doi:10.1089/acm.2009.0634. </w:t>
      </w:r>
      <w:hyperlink r:id="rId28" w:history="1">
        <w:r>
          <w:rPr>
            <w:rFonts w:ascii="Arial" w:hAnsi="Arial" w:eastAsia="Microsoft YaHei"/>
            <w:color w:val="0563C1"/>
            <w:u w:val="single"/>
            <w:sz w:val="17"/>
          </w:rPr>
          <w:t>https://pubmed.ncbi.nlm.nih.gov/20809811/</w:t>
        </w:r>
      </w:hyperlink>
    </w:p>
    <w:p>
      <w:pPr>
        <w:spacing w:line="240" w:lineRule="auto" w:after="16"/>
        <w:jc w:val="both"/>
      </w:pPr>
      <w:r>
        <w:rPr>
          <w:rFonts w:ascii="Arial" w:hAnsi="Arial" w:eastAsia="Microsoft YaHei"/>
          <w:b w:val="0"/>
          <w:i w:val="0"/>
          <w:color w:val="1C1F1E"/>
          <w:sz w:val="17"/>
        </w:rPr>
        <w:t xml:space="preserve">19. Wu CY, Lee HF, Chang CW, Chiang HC, Tsai YH, Liu HE. The immediate effects of lavender aromatherapy massage versus massage in work stress, burnout, and HRV parameters: a randomized controlled trial. Evid Based Complement Alternat Med. 2020;2020:8830083. doi:10.1155/2020/8830083. </w:t>
      </w:r>
      <w:hyperlink r:id="rId29" w:history="1">
        <w:r>
          <w:rPr>
            <w:rFonts w:ascii="Arial" w:hAnsi="Arial" w:eastAsia="Microsoft YaHei"/>
            <w:color w:val="0563C1"/>
            <w:u w:val="single"/>
            <w:sz w:val="17"/>
          </w:rPr>
          <w:t>https://pubmed.ncbi.nlm.nih.gov/33488750/</w:t>
        </w:r>
      </w:hyperlink>
    </w:p>
    <w:p>
      <w:pPr>
        <w:spacing w:line="240" w:lineRule="auto" w:after="16"/>
        <w:jc w:val="both"/>
      </w:pPr>
      <w:r>
        <w:rPr>
          <w:rFonts w:ascii="Arial" w:hAnsi="Arial" w:eastAsia="Microsoft YaHei"/>
          <w:b w:val="0"/>
          <w:i w:val="0"/>
          <w:color w:val="1C1F1E"/>
          <w:sz w:val="17"/>
        </w:rPr>
        <w:t xml:space="preserve">20. Kanitz JL, Reif M, Rihs C, Krause I, Seifert G. A randomised, controlled, single-blinded study on the impact of a single rhythmical massage on well-being and salivary cortisol in healthy adults. Complement Ther Med. 2015;23(5):685-692. doi:10.1016/j.ctim.2015.07.008. </w:t>
      </w:r>
      <w:hyperlink r:id="rId30" w:history="1">
        <w:r>
          <w:rPr>
            <w:rFonts w:ascii="Arial" w:hAnsi="Arial" w:eastAsia="Microsoft YaHei"/>
            <w:color w:val="0563C1"/>
            <w:u w:val="single"/>
            <w:sz w:val="17"/>
          </w:rPr>
          <w:t>https://pubmed.ncbi.nlm.nih.gov/26365448/</w:t>
        </w:r>
      </w:hyperlink>
    </w:p>
    <w:p>
      <w:pPr>
        <w:spacing w:line="240" w:lineRule="auto" w:after="16"/>
        <w:jc w:val="both"/>
      </w:pPr>
      <w:r>
        <w:rPr>
          <w:rFonts w:ascii="Arial" w:hAnsi="Arial" w:eastAsia="Microsoft YaHei"/>
          <w:b w:val="0"/>
          <w:i w:val="0"/>
          <w:color w:val="1C1F1E"/>
          <w:sz w:val="17"/>
        </w:rPr>
        <w:t xml:space="preserve">21. Antonelli M, Fasano F, Veronesi L, Donelli D, Vitale M, Pasquarella C. Balneotherapy and cortisol levels: an updated systematic review and meta-analysis. Int J Biometeorol. 2024;68(10):1909-1922. doi:10.1007/s00484-024-02721-6. </w:t>
      </w:r>
      <w:hyperlink r:id="rId31" w:history="1">
        <w:r>
          <w:rPr>
            <w:rFonts w:ascii="Arial" w:hAnsi="Arial" w:eastAsia="Microsoft YaHei"/>
            <w:color w:val="0563C1"/>
            <w:u w:val="single"/>
            <w:sz w:val="17"/>
          </w:rPr>
          <w:t>https://pubmed.ncbi.nlm.nih.gov/38884799/</w:t>
        </w:r>
      </w:hyperlink>
    </w:p>
    <w:p>
      <w:pPr>
        <w:spacing w:line="240" w:lineRule="auto" w:after="16"/>
        <w:jc w:val="both"/>
      </w:pPr>
      <w:r>
        <w:rPr>
          <w:rFonts w:ascii="Arial" w:hAnsi="Arial" w:eastAsia="Microsoft YaHei"/>
          <w:b w:val="0"/>
          <w:i w:val="0"/>
          <w:color w:val="1C1F1E"/>
          <w:sz w:val="17"/>
        </w:rPr>
        <w:t xml:space="preserve">22. Goto Y, Hayasaka S, Kurihara S, Nakamura Y. Physical and mental effects of bathing: a randomized intervention study. Evid Based Complement Alternat Med. 2018;2018:9521086. doi:10.1155/2018/9521086. </w:t>
      </w:r>
      <w:hyperlink r:id="rId32" w:history="1">
        <w:r>
          <w:rPr>
            <w:rFonts w:ascii="Arial" w:hAnsi="Arial" w:eastAsia="Microsoft YaHei"/>
            <w:color w:val="0563C1"/>
            <w:u w:val="single"/>
            <w:sz w:val="17"/>
          </w:rPr>
          <w:t>https://pubmed.ncbi.nlm.nih.gov/29977318/</w:t>
        </w:r>
      </w:hyperlink>
    </w:p>
    <w:p>
      <w:pPr>
        <w:spacing w:line="240" w:lineRule="auto" w:after="16"/>
        <w:jc w:val="both"/>
      </w:pPr>
      <w:r>
        <w:rPr>
          <w:rFonts w:ascii="Arial" w:hAnsi="Arial" w:eastAsia="Microsoft YaHei"/>
          <w:b w:val="0"/>
          <w:i w:val="0"/>
          <w:color w:val="1C1F1E"/>
          <w:sz w:val="17"/>
        </w:rPr>
        <w:t xml:space="preserve">23. Takeda M, Nakamura H, Otsu H, Mimori K, Maeda T, Managi S. Hot spring bathing practices have a positive effect on mental health in Japan. Heliyon. 2023;9(9):e19631. doi:10.1016/j.heliyon.2023.e19631. </w:t>
      </w:r>
      <w:hyperlink r:id="rId33" w:history="1">
        <w:r>
          <w:rPr>
            <w:rFonts w:ascii="Arial" w:hAnsi="Arial" w:eastAsia="Microsoft YaHei"/>
            <w:color w:val="0563C1"/>
            <w:u w:val="single"/>
            <w:sz w:val="17"/>
          </w:rPr>
          <w:t>https://pubmed.ncbi.nlm.nih.gov/37809617/</w:t>
        </w:r>
      </w:hyperlink>
    </w:p>
    <w:p>
      <w:pPr>
        <w:spacing w:line="240" w:lineRule="auto" w:after="16"/>
        <w:jc w:val="both"/>
      </w:pPr>
      <w:r>
        <w:rPr>
          <w:rFonts w:ascii="Arial" w:hAnsi="Arial" w:eastAsia="Microsoft YaHei"/>
          <w:b w:val="0"/>
          <w:i w:val="0"/>
          <w:color w:val="1C1F1E"/>
          <w:sz w:val="17"/>
        </w:rPr>
        <w:t xml:space="preserve">24. Tochihara Y. A review of Japanese-style bathing: its demerits and merits. J Physiol Anthropol. 2022;41(1):5. doi:10.1186/s40101-022-00278-0. </w:t>
      </w:r>
      <w:hyperlink r:id="rId34" w:history="1">
        <w:r>
          <w:rPr>
            <w:rFonts w:ascii="Arial" w:hAnsi="Arial" w:eastAsia="Microsoft YaHei"/>
            <w:color w:val="0563C1"/>
            <w:u w:val="single"/>
            <w:sz w:val="17"/>
          </w:rPr>
          <w:t>https://pubmed.ncbi.nlm.nih.gov/35168673/</w:t>
        </w:r>
      </w:hyperlink>
    </w:p>
    <w:p>
      <w:pPr>
        <w:spacing w:line="240" w:lineRule="auto" w:after="16"/>
        <w:jc w:val="both"/>
      </w:pPr>
      <w:r>
        <w:rPr>
          <w:rFonts w:ascii="Arial" w:hAnsi="Arial" w:eastAsia="Microsoft YaHei"/>
          <w:b w:val="0"/>
          <w:i w:val="0"/>
          <w:color w:val="1C1F1E"/>
          <w:sz w:val="17"/>
        </w:rPr>
        <w:t xml:space="preserve">25. Moini Jazani A, Nasimi Doost Azgomi H, Nasimi Doost Azgomi A, Hossein Ayati M, Nasimi Doost Azgomi R. Efficacy of hydrotherapy, spa therapy, and balneotherapy on sleep quality: a systematic review. Int J Biometeorol. 2023;67(6):975-991. doi:10.1007/s00484-023-02471-x. </w:t>
      </w:r>
      <w:hyperlink r:id="rId35" w:history="1">
        <w:r>
          <w:rPr>
            <w:rFonts w:ascii="Arial" w:hAnsi="Arial" w:eastAsia="Microsoft YaHei"/>
            <w:color w:val="0563C1"/>
            <w:u w:val="single"/>
            <w:sz w:val="17"/>
          </w:rPr>
          <w:t>https://pubmed.ncbi.nlm.nih.gov/37145200/</w:t>
        </w:r>
      </w:hyperlink>
    </w:p>
    <w:p>
      <w:pPr>
        <w:spacing w:line="240" w:lineRule="auto" w:after="16"/>
        <w:jc w:val="both"/>
      </w:pPr>
      <w:r>
        <w:rPr>
          <w:rFonts w:ascii="Arial" w:hAnsi="Arial" w:eastAsia="Microsoft YaHei"/>
          <w:b w:val="0"/>
          <w:i w:val="0"/>
          <w:color w:val="1C1F1E"/>
          <w:sz w:val="17"/>
        </w:rPr>
        <w:t xml:space="preserve">26. 神奈川県. 未病の改善（県民向け）. 2026年7月16日更新. </w:t>
      </w:r>
      <w:hyperlink r:id="rId36" w:history="1">
        <w:r>
          <w:rPr>
            <w:rFonts w:ascii="Arial" w:hAnsi="Arial" w:eastAsia="Microsoft YaHei"/>
            <w:color w:val="0563C1"/>
            <w:u w:val="single"/>
            <w:sz w:val="17"/>
          </w:rPr>
          <w:t>https://www.pref.kanagawa.jp/docs/cz6/me-byokaizen/index.html</w:t>
        </w:r>
      </w:hyperlink>
    </w:p>
    <w:p>
      <w:pPr>
        <w:spacing w:line="240" w:lineRule="auto" w:after="16"/>
        <w:jc w:val="both"/>
      </w:pPr>
      <w:r>
        <w:rPr>
          <w:rFonts w:ascii="Arial" w:hAnsi="Arial" w:eastAsia="Microsoft YaHei"/>
          <w:b w:val="0"/>
          <w:i w:val="0"/>
          <w:color w:val="1C1F1E"/>
          <w:sz w:val="17"/>
        </w:rPr>
        <w:t xml:space="preserve">27. 厚生労働省. 令和7年度健康増進普及月間について. 一次予防を重視した健康増進の推進. </w:t>
      </w:r>
      <w:hyperlink r:id="rId37" w:history="1">
        <w:r>
          <w:rPr>
            <w:rFonts w:ascii="Arial" w:hAnsi="Arial" w:eastAsia="Microsoft YaHei"/>
            <w:color w:val="0563C1"/>
            <w:u w:val="single"/>
            <w:sz w:val="17"/>
          </w:rPr>
          <w:t>https://www.mhlw.go.jp/stf/newpage_61544.html</w:t>
        </w:r>
      </w:hyperlink>
    </w:p>
    <w:p>
      <w:pPr>
        <w:spacing w:line="240" w:lineRule="auto" w:after="16"/>
        <w:jc w:val="both"/>
      </w:pPr>
      <w:r>
        <w:rPr>
          <w:rFonts w:ascii="Arial" w:hAnsi="Arial" w:eastAsia="Microsoft YaHei"/>
          <w:b w:val="0"/>
          <w:i w:val="0"/>
          <w:color w:val="1C1F1E"/>
          <w:sz w:val="17"/>
        </w:rPr>
        <w:t xml:space="preserve">28. Laborde S, Mosley E, Thayer JF. Heart rate variability and cardiac vagal tone in psychophysiological research: recommendations for experiment planning, data analysis, and data reporting. Front Psychol. 2017;8:213. doi:10.3389/fpsyg.2017.00213. </w:t>
      </w:r>
      <w:hyperlink r:id="rId38" w:history="1">
        <w:r>
          <w:rPr>
            <w:rFonts w:ascii="Arial" w:hAnsi="Arial" w:eastAsia="Microsoft YaHei"/>
            <w:color w:val="0563C1"/>
            <w:u w:val="single"/>
            <w:sz w:val="17"/>
          </w:rPr>
          <w:t>https://pubmed.ncbi.nlm.nih.gov/28265249/</w:t>
        </w:r>
      </w:hyperlink>
    </w:p>
    <w:p>
      <w:pPr>
        <w:spacing w:line="240" w:lineRule="auto" w:after="16"/>
        <w:jc w:val="both"/>
      </w:pPr>
      <w:r>
        <w:rPr>
          <w:rFonts w:ascii="Arial" w:hAnsi="Arial" w:eastAsia="Microsoft YaHei"/>
          <w:b w:val="0"/>
          <w:i w:val="0"/>
          <w:color w:val="1C1F1E"/>
          <w:sz w:val="17"/>
        </w:rPr>
        <w:t xml:space="preserve">29. Quigley KS, Gianaros PJ, Norman GJ, Jennings JR, Berntson GG, de Geus EJC. Publication guidelines for human heart rate and heart rate variability studies in psychophysiology—Part 1. Psychophysiology. 2024;61(9):e14604. doi:10.1111/psyp.14604. </w:t>
      </w:r>
      <w:hyperlink r:id="rId39" w:history="1">
        <w:r>
          <w:rPr>
            <w:rFonts w:ascii="Arial" w:hAnsi="Arial" w:eastAsia="Microsoft YaHei"/>
            <w:color w:val="0563C1"/>
            <w:u w:val="single"/>
            <w:sz w:val="17"/>
          </w:rPr>
          <w:t>https://pubmed.ncbi.nlm.nih.gov/38873876/</w:t>
        </w:r>
      </w:hyperlink>
    </w:p>
    <w:p>
      <w:pPr>
        <w:spacing w:line="240" w:lineRule="auto" w:after="16"/>
        <w:jc w:val="both"/>
      </w:pPr>
      <w:r>
        <w:rPr>
          <w:rFonts w:ascii="Arial" w:hAnsi="Arial" w:eastAsia="Microsoft YaHei"/>
          <w:b w:val="0"/>
          <w:i w:val="0"/>
          <w:color w:val="1C1F1E"/>
          <w:sz w:val="17"/>
        </w:rPr>
        <w:t xml:space="preserve">30. Lesage FX, Berjot S, Deschamps F. Clinical stress assessment using a visual analogue scale. Occup Med (Lond). 2012;62(8):600-605. doi:10.1093/occmed/kqs140. </w:t>
      </w:r>
      <w:hyperlink r:id="rId40" w:history="1">
        <w:r>
          <w:rPr>
            <w:rFonts w:ascii="Arial" w:hAnsi="Arial" w:eastAsia="Microsoft YaHei"/>
            <w:color w:val="0563C1"/>
            <w:u w:val="single"/>
            <w:sz w:val="17"/>
          </w:rPr>
          <w:t>https://pubmed.ncbi.nlm.nih.gov/22965867/</w:t>
        </w:r>
      </w:hyperlink>
    </w:p>
    <w:p>
      <w:pPr>
        <w:spacing w:line="240" w:lineRule="auto" w:after="16"/>
        <w:jc w:val="both"/>
      </w:pPr>
      <w:r>
        <w:rPr>
          <w:rFonts w:ascii="Arial" w:hAnsi="Arial" w:eastAsia="Microsoft YaHei"/>
          <w:b w:val="0"/>
          <w:i w:val="0"/>
          <w:color w:val="1C1F1E"/>
          <w:sz w:val="17"/>
        </w:rPr>
        <w:t xml:space="preserve">31. Yokoyama K, Araki S, Kawakami N, Takeshita T. Production of the Japanese edition of Profile of Mood States: assessment of reliability and validity. Nihon Koshu Eisei Zasshi. 1990;37(11):913-918. </w:t>
      </w:r>
      <w:hyperlink r:id="rId41" w:history="1">
        <w:r>
          <w:rPr>
            <w:rFonts w:ascii="Arial" w:hAnsi="Arial" w:eastAsia="Microsoft YaHei"/>
            <w:color w:val="0563C1"/>
            <w:u w:val="single"/>
            <w:sz w:val="17"/>
          </w:rPr>
          <w:t>https://pubmed.ncbi.nlm.nih.gov/2132363/</w:t>
        </w:r>
      </w:hyperlink>
    </w:p>
    <w:p>
      <w:pPr>
        <w:spacing w:line="240" w:lineRule="auto" w:after="16"/>
        <w:jc w:val="both"/>
      </w:pPr>
      <w:r>
        <w:rPr>
          <w:rFonts w:ascii="Arial" w:hAnsi="Arial" w:eastAsia="Microsoft YaHei"/>
          <w:b w:val="0"/>
          <w:i w:val="0"/>
          <w:color w:val="1C1F1E"/>
          <w:sz w:val="17"/>
        </w:rPr>
        <w:t xml:space="preserve">32. Pruessner JC, Kirschbaum C, Meinlschmid G, Hellhammer DH. Two formulas for computation of the area under the curve represent measures of total hormone concentration versus time-dependent change. Psychoneuroendocrinology. 2003;28(7):916-931. doi:10.1016/S0306-4530(02)00108-7. </w:t>
      </w:r>
      <w:hyperlink r:id="rId42" w:history="1">
        <w:r>
          <w:rPr>
            <w:rFonts w:ascii="Arial" w:hAnsi="Arial" w:eastAsia="Microsoft YaHei"/>
            <w:color w:val="0563C1"/>
            <w:u w:val="single"/>
            <w:sz w:val="17"/>
          </w:rPr>
          <w:t>https://pubmed.ncbi.nlm.nih.gov/12892658/</w:t>
        </w:r>
      </w:hyperlink>
    </w:p>
    <w:p>
      <w:pPr>
        <w:spacing w:line="240" w:lineRule="auto" w:after="16"/>
        <w:jc w:val="both"/>
      </w:pPr>
      <w:r>
        <w:rPr>
          <w:rFonts w:ascii="Arial" w:hAnsi="Arial" w:eastAsia="Microsoft YaHei"/>
          <w:b w:val="0"/>
          <w:i w:val="0"/>
          <w:color w:val="1C1F1E"/>
          <w:sz w:val="17"/>
        </w:rPr>
        <w:t xml:space="preserve">33. Eldridge SM, Lancaster GA, Campbell MJ, Thabane L, Hopewell S, Coleman CL, Bond CM. Defining feasibility and pilot studies in preparation for randomised controlled trials: development of a conceptual framework. PLoS One. 2016;11(3):e0150205. doi:10.1371/journal.pone.0150205. </w:t>
      </w:r>
      <w:hyperlink r:id="rId43" w:history="1">
        <w:r>
          <w:rPr>
            <w:rFonts w:ascii="Arial" w:hAnsi="Arial" w:eastAsia="Microsoft YaHei"/>
            <w:color w:val="0563C1"/>
            <w:u w:val="single"/>
            <w:sz w:val="17"/>
          </w:rPr>
          <w:t>https://pubmed.ncbi.nlm.nih.gov/26978655/</w:t>
        </w:r>
      </w:hyperlink>
    </w:p>
    <w:p>
      <w:pPr>
        <w:spacing w:line="240" w:lineRule="auto" w:after="16"/>
        <w:jc w:val="both"/>
      </w:pPr>
      <w:r>
        <w:rPr>
          <w:rFonts w:ascii="Arial" w:hAnsi="Arial" w:eastAsia="Microsoft YaHei"/>
          <w:b w:val="0"/>
          <w:i w:val="0"/>
          <w:color w:val="1C1F1E"/>
          <w:sz w:val="17"/>
        </w:rPr>
        <w:t xml:space="preserve">34. Thabane L, Ma J, Chu R, Cheng J, Ismaila A, Rios LP, et al. A tutorial on pilot studies: the what, why and how. BMC Med Res Methodol. 2010;10:1. doi:10.1186/1471-2288-10-1. </w:t>
      </w:r>
      <w:hyperlink r:id="rId44" w:history="1">
        <w:r>
          <w:rPr>
            <w:rFonts w:ascii="Arial" w:hAnsi="Arial" w:eastAsia="Microsoft YaHei"/>
            <w:color w:val="0563C1"/>
            <w:u w:val="single"/>
            <w:sz w:val="17"/>
          </w:rPr>
          <w:t>https://pubmed.ncbi.nlm.nih.gov/20053272/</w:t>
        </w:r>
      </w:hyperlink>
    </w:p>
    <w:p>
      <w:pPr>
        <w:spacing w:line="240" w:lineRule="auto" w:after="16"/>
        <w:jc w:val="both"/>
      </w:pPr>
      <w:r>
        <w:rPr>
          <w:rFonts w:ascii="Arial" w:hAnsi="Arial" w:eastAsia="Microsoft YaHei"/>
          <w:b w:val="0"/>
          <w:i w:val="0"/>
          <w:color w:val="1C1F1E"/>
          <w:sz w:val="17"/>
        </w:rPr>
        <w:t xml:space="preserve">35. Dwan K, Li T, Altman DG, Elbourne D. CONSORT 2010 statement: extension to randomised crossover trials. BMJ. 2019;366:l4378. doi:10.1136/bmj.l4378. </w:t>
      </w:r>
      <w:hyperlink r:id="rId45" w:history="1">
        <w:r>
          <w:rPr>
            <w:rFonts w:ascii="Arial" w:hAnsi="Arial" w:eastAsia="Microsoft YaHei"/>
            <w:color w:val="0563C1"/>
            <w:u w:val="single"/>
            <w:sz w:val="17"/>
          </w:rPr>
          <w:t>https://pubmed.ncbi.nlm.nih.gov/31366597/</w:t>
        </w:r>
      </w:hyperlink>
    </w:p>
    <w:p>
      <w:pPr>
        <w:spacing w:line="240" w:lineRule="auto" w:after="16"/>
        <w:jc w:val="both"/>
      </w:pPr>
      <w:r>
        <w:rPr>
          <w:rFonts w:ascii="Arial" w:hAnsi="Arial" w:eastAsia="Microsoft YaHei"/>
          <w:b w:val="0"/>
          <w:i w:val="0"/>
          <w:color w:val="1C1F1E"/>
          <w:sz w:val="17"/>
        </w:rPr>
        <w:t xml:space="preserve">36. Yang YS, Ryu GW, Choi M. Methodological strategies for ecological momentary assessment to evaluate mood and stress in adult patients using mobile phones: systematic review. JMIR Mhealth Uhealth. 2019;7(4):e11215. doi:10.2196/11215. </w:t>
      </w:r>
      <w:hyperlink r:id="rId46" w:history="1">
        <w:r>
          <w:rPr>
            <w:rFonts w:ascii="Arial" w:hAnsi="Arial" w:eastAsia="Microsoft YaHei"/>
            <w:color w:val="0563C1"/>
            <w:u w:val="single"/>
            <w:sz w:val="17"/>
          </w:rPr>
          <w:t>https://pubmed.ncbi.nlm.nih.gov/30932866/</w:t>
        </w:r>
      </w:hyperlink>
    </w:p>
    <w:p>
      <w:pPr>
        <w:spacing w:line="240" w:lineRule="auto" w:after="16"/>
        <w:jc w:val="both"/>
      </w:pPr>
      <w:r>
        <w:rPr>
          <w:rFonts w:ascii="Arial" w:hAnsi="Arial" w:eastAsia="Microsoft YaHei"/>
          <w:b w:val="0"/>
          <w:i w:val="0"/>
          <w:color w:val="1C1F1E"/>
          <w:sz w:val="17"/>
        </w:rPr>
        <w:t xml:space="preserve">37. Weber J, Angerer P, Apolinário-Hagen J. Physiological reactions to acute stressors and subjective stress during daily life: a systematic review on ecological momentary assessment studies. PLoS One. 2022;17(7):e0271996. doi:10.1371/journal.pone.0271996. </w:t>
      </w:r>
      <w:hyperlink r:id="rId47" w:history="1">
        <w:r>
          <w:rPr>
            <w:rFonts w:ascii="Arial" w:hAnsi="Arial" w:eastAsia="Microsoft YaHei"/>
            <w:color w:val="0563C1"/>
            <w:u w:val="single"/>
            <w:sz w:val="17"/>
          </w:rPr>
          <w:t>https://pubmed.ncbi.nlm.nih.gov/35895674/</w:t>
        </w:r>
      </w:hyperlink>
    </w:p>
    <w:p>
      <w:pPr>
        <w:spacing w:line="240" w:lineRule="auto" w:after="16"/>
        <w:jc w:val="both"/>
      </w:pPr>
      <w:r>
        <w:rPr>
          <w:rFonts w:ascii="Arial" w:hAnsi="Arial" w:eastAsia="Microsoft YaHei"/>
          <w:b w:val="0"/>
          <w:i w:val="0"/>
          <w:color w:val="1C1F1E"/>
          <w:sz w:val="17"/>
        </w:rPr>
        <w:t xml:space="preserve">38. Li Q, Morimoto K, Kobayashi M, Inagaki H, Katsumata M, Hirata Y, et al. A forest bathing trip increases human natural killer activity and expression of anti-cancer proteins in female subjects. J Biol Regul Homeost Agents. 2008;22(1):45-55. </w:t>
      </w:r>
      <w:hyperlink r:id="rId48" w:history="1">
        <w:r>
          <w:rPr>
            <w:rFonts w:ascii="Arial" w:hAnsi="Arial" w:eastAsia="Microsoft YaHei"/>
            <w:color w:val="0563C1"/>
            <w:u w:val="single"/>
            <w:sz w:val="17"/>
          </w:rPr>
          <w:t>https://pubmed.ncbi.nlm.nih.gov/18394317/</w:t>
        </w:r>
      </w:hyperlink>
    </w:p>
    <w:p>
      <w:pPr>
        <w:spacing w:line="240" w:lineRule="auto" w:after="16"/>
        <w:jc w:val="both"/>
      </w:pPr>
      <w:r>
        <w:rPr>
          <w:rFonts w:ascii="Arial" w:hAnsi="Arial" w:eastAsia="Microsoft YaHei"/>
          <w:b w:val="0"/>
          <w:i w:val="0"/>
          <w:color w:val="1C1F1E"/>
          <w:sz w:val="17"/>
        </w:rPr>
        <w:t xml:space="preserve">39. Hoffmann TC, Glasziou PP, Boutron I, Milne R, Perera R, Moher D, et al. Better reporting of interventions: Template for Intervention Description and Replication (TIDieR) checklist and guide. BMJ. 2014;348:g1687. doi:10.1136/bmj.g1687. </w:t>
      </w:r>
      <w:hyperlink r:id="rId49" w:history="1">
        <w:r>
          <w:rPr>
            <w:rFonts w:ascii="Arial" w:hAnsi="Arial" w:eastAsia="Microsoft YaHei"/>
            <w:color w:val="0563C1"/>
            <w:u w:val="single"/>
            <w:sz w:val="17"/>
          </w:rPr>
          <w:t>https://pubmed.ncbi.nlm.nih.gov/24609605/</w:t>
        </w:r>
      </w:hyperlink>
    </w:p>
    <w:p>
      <w:pPr>
        <w:spacing w:line="240" w:lineRule="auto" w:after="16"/>
        <w:jc w:val="both"/>
      </w:pPr>
      <w:r>
        <w:rPr>
          <w:rFonts w:ascii="Arial" w:hAnsi="Arial" w:eastAsia="Microsoft YaHei"/>
          <w:b w:val="0"/>
          <w:i w:val="0"/>
          <w:color w:val="1C1F1E"/>
          <w:sz w:val="17"/>
        </w:rPr>
        <w:t xml:space="preserve">40. Boutron I, Altman DG, Moher D, Schulz KF, Ravaud P; CONSORT NPT Group. CONSORT statement for randomized trials of nonpharmacologic treatments: a 2017 update. Ann Intern Med. 2017;167(1):40-47. doi:10.7326/M17-0046. </w:t>
      </w:r>
      <w:hyperlink r:id="rId50" w:history="1">
        <w:r>
          <w:rPr>
            <w:rFonts w:ascii="Arial" w:hAnsi="Arial" w:eastAsia="Microsoft YaHei"/>
            <w:color w:val="0563C1"/>
            <w:u w:val="single"/>
            <w:sz w:val="17"/>
          </w:rPr>
          <w:t>https://pubmed.ncbi.nlm.nih.gov/28630973/</w:t>
        </w:r>
      </w:hyperlink>
    </w:p>
    <w:p>
      <w:pPr>
        <w:spacing w:line="240" w:lineRule="auto" w:after="16"/>
        <w:jc w:val="both"/>
      </w:pPr>
      <w:r>
        <w:rPr>
          <w:rFonts w:ascii="Arial" w:hAnsi="Arial" w:eastAsia="Microsoft YaHei"/>
          <w:b w:val="0"/>
          <w:i w:val="0"/>
          <w:color w:val="1C1F1E"/>
          <w:sz w:val="17"/>
        </w:rPr>
        <w:t xml:space="preserve">41. World Health Organization. Green spaces: sectoral brief in support of the global health strategy on climate change. Geneva: WHO; 2025. </w:t>
      </w:r>
      <w:hyperlink r:id="rId51" w:history="1">
        <w:r>
          <w:rPr>
            <w:rFonts w:ascii="Arial" w:hAnsi="Arial" w:eastAsia="Microsoft YaHei"/>
            <w:color w:val="0563C1"/>
            <w:u w:val="single"/>
            <w:sz w:val="17"/>
          </w:rPr>
          <w:t>https://www.who.int/publications/i/item/B09366</w:t>
        </w:r>
      </w:hyperlink>
    </w:p>
    <w:p>
      <w:pPr>
        <w:spacing w:line="240" w:lineRule="auto" w:after="16"/>
        <w:jc w:val="both"/>
      </w:pPr>
      <w:r>
        <w:rPr>
          <w:rFonts w:ascii="Arial" w:hAnsi="Arial" w:eastAsia="Microsoft YaHei"/>
          <w:b w:val="0"/>
          <w:i w:val="0"/>
          <w:color w:val="1C1F1E"/>
          <w:sz w:val="17"/>
        </w:rPr>
        <w:t xml:space="preserve">42. 神奈川県. ME-BYO INDEXについて. 2025年3月31日更新. </w:t>
      </w:r>
      <w:hyperlink r:id="rId52" w:history="1">
        <w:r>
          <w:rPr>
            <w:rFonts w:ascii="Arial" w:hAnsi="Arial" w:eastAsia="Microsoft YaHei"/>
            <w:color w:val="0563C1"/>
            <w:u w:val="single"/>
            <w:sz w:val="17"/>
          </w:rPr>
          <w:t>https://www.pref.kanagawa.jp/docs/mv4/mebyo-index/mebyo-index_outline.html</w:t>
        </w:r>
      </w:hyperlink>
    </w:p>
    <w:p>
      <w:pPr>
        <w:spacing w:line="240" w:lineRule="auto" w:after="16"/>
        <w:jc w:val="both"/>
      </w:pPr>
      <w:r>
        <w:rPr>
          <w:rFonts w:ascii="Arial" w:hAnsi="Arial" w:eastAsia="Microsoft YaHei"/>
          <w:b w:val="0"/>
          <w:i w:val="0"/>
          <w:color w:val="1C1F1E"/>
          <w:sz w:val="17"/>
        </w:rPr>
        <w:t xml:space="preserve">43. 林野庁. 森林サービス産業の創出・推進. </w:t>
      </w:r>
      <w:hyperlink r:id="rId53" w:history="1">
        <w:r>
          <w:rPr>
            <w:rFonts w:ascii="Arial" w:hAnsi="Arial" w:eastAsia="Microsoft YaHei"/>
            <w:color w:val="0563C1"/>
            <w:u w:val="single"/>
            <w:sz w:val="17"/>
          </w:rPr>
          <w:t>https://www.rinya.maff.go.jp/j/sanson/kassei/sangyou.html</w:t>
        </w:r>
      </w:hyperlink>
    </w:p>
    <w:p>
      <w:pPr>
        <w:spacing w:line="240" w:lineRule="auto" w:after="16"/>
        <w:jc w:val="both"/>
      </w:pPr>
      <w:r>
        <w:rPr>
          <w:rFonts w:ascii="Arial" w:hAnsi="Arial" w:eastAsia="Microsoft YaHei"/>
          <w:b w:val="0"/>
          <w:i w:val="0"/>
          <w:color w:val="1C1F1E"/>
          <w:sz w:val="17"/>
        </w:rPr>
        <w:t xml:space="preserve">44. 一般社団法人日本森林医学会. 第3回一般社団法人日本森林医学会学術総会のご案内（横浜国立大学との共催）. </w:t>
      </w:r>
      <w:hyperlink r:id="rId54" w:history="1">
        <w:r>
          <w:rPr>
            <w:rFonts w:ascii="Arial" w:hAnsi="Arial" w:eastAsia="Microsoft YaHei"/>
            <w:color w:val="0563C1"/>
            <w:u w:val="single"/>
            <w:sz w:val="17"/>
          </w:rPr>
          <w:t>https://forest-medicine.jp/5422</w:t>
        </w:r>
      </w:hyperlink>
    </w:p>
    <w:p>
      <w:pPr>
        <w:spacing w:line="240" w:lineRule="auto" w:after="16"/>
        <w:jc w:val="both"/>
      </w:pPr>
      <w:r>
        <w:rPr>
          <w:rFonts w:ascii="Arial" w:hAnsi="Arial" w:eastAsia="Microsoft YaHei"/>
          <w:b w:val="0"/>
          <w:i w:val="0"/>
          <w:color w:val="1C1F1E"/>
          <w:sz w:val="17"/>
        </w:rPr>
        <w:t xml:space="preserve">45. Perez V, Alexander DD, Bailey WH. Air ions and mood outcomes: a review and meta-analysis. BMC Psychiatry. 2013;13:29. doi:10.1186/1471-244X-13-29. </w:t>
      </w:r>
      <w:hyperlink r:id="rId55" w:history="1">
        <w:r>
          <w:rPr>
            <w:rFonts w:ascii="Arial" w:hAnsi="Arial" w:eastAsia="Microsoft YaHei"/>
            <w:color w:val="0563C1"/>
            <w:u w:val="single"/>
            <w:sz w:val="17"/>
          </w:rPr>
          <w:t>https://pubmed.ncbi.nlm.nih.gov/23320516/</w:t>
        </w:r>
      </w:hyperlink>
    </w:p>
    <w:p>
      <w:pPr>
        <w:spacing w:line="240" w:lineRule="auto" w:after="16"/>
        <w:jc w:val="both"/>
      </w:pPr>
      <w:r>
        <w:rPr>
          <w:rFonts w:ascii="Arial" w:hAnsi="Arial" w:eastAsia="Microsoft YaHei"/>
          <w:b w:val="0"/>
          <w:i w:val="0"/>
          <w:color w:val="1C1F1E"/>
          <w:sz w:val="17"/>
        </w:rPr>
        <w:t xml:space="preserve">46. World Health Organization. Radiation: Electromagnetic fields. Questions and answers. 2016 Aug 4. </w:t>
      </w:r>
      <w:hyperlink r:id="rId56" w:history="1">
        <w:r>
          <w:rPr>
            <w:rFonts w:ascii="Arial" w:hAnsi="Arial" w:eastAsia="Microsoft YaHei"/>
            <w:color w:val="0563C1"/>
            <w:u w:val="single"/>
            <w:sz w:val="17"/>
          </w:rPr>
          <w:t>https://www.who.int/news-room/questions-and-answers/item/radiation-electromagnetic-fields</w:t>
        </w:r>
      </w:hyperlink>
    </w:p>
    <w:p>
      <w:pPr>
        <w:spacing w:line="240" w:lineRule="auto" w:after="16"/>
        <w:jc w:val="both"/>
      </w:pPr>
      <w:r>
        <w:rPr>
          <w:rFonts w:ascii="Arial" w:hAnsi="Arial" w:eastAsia="Microsoft YaHei"/>
          <w:b w:val="0"/>
          <w:i w:val="0"/>
          <w:color w:val="1C1F1E"/>
          <w:sz w:val="17"/>
        </w:rPr>
        <w:t xml:space="preserve">47. Grassini S, Segurini GV, Koivisto M. Watching nature videos promotes physiological restoration: evidence from the modulation of alpha waves in electroencephalography. Front Psychol. 2022;13:871143. doi:10.3389/fpsyg.2022.871143. </w:t>
      </w:r>
      <w:hyperlink r:id="rId57" w:history="1">
        <w:r>
          <w:rPr>
            <w:rFonts w:ascii="Arial" w:hAnsi="Arial" w:eastAsia="Microsoft YaHei"/>
            <w:color w:val="0563C1"/>
            <w:u w:val="single"/>
            <w:sz w:val="17"/>
          </w:rPr>
          <w:t>https://pubmed.ncbi.nlm.nih.gov/35747675/</w:t>
        </w:r>
      </w:hyperlink>
    </w:p>
    <w:p>
      <w:pPr>
        <w:spacing w:line="240" w:lineRule="auto" w:after="16"/>
        <w:jc w:val="both"/>
      </w:pPr>
      <w:r>
        <w:rPr>
          <w:rFonts w:ascii="Arial" w:hAnsi="Arial" w:eastAsia="Microsoft YaHei"/>
          <w:b w:val="0"/>
          <w:i w:val="0"/>
          <w:color w:val="1C1F1E"/>
          <w:sz w:val="17"/>
        </w:rPr>
        <w:t xml:space="preserve">48. Hansen MM, Jones R, Tocchini K. Shinrin-Yoku (Forest Bathing) and Nature Therapy: A State-of-the-Art Review. Int J Environ Res Public Health. 2017;14(8):851. doi:10.3390/ijerph14080851. </w:t>
      </w:r>
      <w:hyperlink r:id="rId58" w:history="1">
        <w:r>
          <w:rPr>
            <w:rFonts w:ascii="Arial" w:hAnsi="Arial" w:eastAsia="Microsoft YaHei"/>
            <w:color w:val="0563C1"/>
            <w:u w:val="single"/>
            <w:sz w:val="17"/>
          </w:rPr>
          <w:t>https://pubmed.ncbi.nlm.nih.gov/28788101/</w:t>
        </w:r>
      </w:hyperlink>
    </w:p>
    <w:p>
      <w:pPr>
        <w:spacing w:line="240" w:lineRule="auto" w:after="16"/>
        <w:jc w:val="both"/>
      </w:pPr>
      <w:r>
        <w:rPr>
          <w:rFonts w:ascii="Arial" w:hAnsi="Arial" w:eastAsia="Microsoft YaHei"/>
          <w:b w:val="0"/>
          <w:i w:val="0"/>
          <w:color w:val="1C1F1E"/>
          <w:sz w:val="17"/>
        </w:rPr>
        <w:t xml:space="preserve">49. Ideno Y, Hayashi K, Abe Y, Ueda K, Iso H, Noda M, et al. Blood pressure-lowering effect of Shinrin-yoku (Forest bathing): a systematic review and meta-analysis. BMC Complement Altern Med. 2017;17(1):409. doi:10.1186/s12906-017-1912-z. </w:t>
      </w:r>
      <w:hyperlink r:id="rId59" w:history="1">
        <w:r>
          <w:rPr>
            <w:rFonts w:ascii="Arial" w:hAnsi="Arial" w:eastAsia="Microsoft YaHei"/>
            <w:color w:val="0563C1"/>
            <w:u w:val="single"/>
            <w:sz w:val="17"/>
          </w:rPr>
          <w:t>https://pubmed.ncbi.nlm.nih.gov/28814305/</w:t>
        </w:r>
      </w:hyperlink>
    </w:p>
    <w:p>
      <w:pPr>
        <w:spacing w:line="240" w:lineRule="auto" w:after="16"/>
        <w:jc w:val="both"/>
      </w:pPr>
      <w:r>
        <w:rPr>
          <w:rFonts w:ascii="Arial" w:hAnsi="Arial" w:eastAsia="Microsoft YaHei"/>
          <w:b w:val="0"/>
          <w:i w:val="0"/>
          <w:color w:val="1C1F1E"/>
          <w:sz w:val="17"/>
        </w:rPr>
        <w:t xml:space="preserve">50. Wen Y, Yan Q, Pan Y, Gu X, Liu Y. Medical empirical research on forest bathing (Shinrin-yoku): a systematic review. Environ Health Prev Med. 2019;24(1):70. doi:10.1186/s12199-019-0822-8. </w:t>
      </w:r>
      <w:hyperlink r:id="rId60" w:history="1">
        <w:r>
          <w:rPr>
            <w:rFonts w:ascii="Arial" w:hAnsi="Arial" w:eastAsia="Microsoft YaHei"/>
            <w:color w:val="0563C1"/>
            <w:u w:val="single"/>
            <w:sz w:val="17"/>
          </w:rPr>
          <w:t>https://pubmed.ncbi.nlm.nih.gov/31787069/</w:t>
        </w:r>
      </w:hyperlink>
    </w:p>
    <w:p>
      <w:pPr>
        <w:spacing w:line="240" w:lineRule="auto" w:after="16"/>
        <w:jc w:val="both"/>
      </w:pPr>
      <w:r>
        <w:rPr>
          <w:rFonts w:ascii="Arial" w:hAnsi="Arial" w:eastAsia="Microsoft YaHei"/>
          <w:b w:val="0"/>
          <w:i w:val="0"/>
          <w:color w:val="1C1F1E"/>
          <w:sz w:val="17"/>
        </w:rPr>
        <w:t xml:space="preserve">51. Stier-Jarmer M, Throner V, Kirschneck M, Immich G, Frisch D, Schuh A. The Psychological and Physical Effects of Forests on Human Health: A Systematic Review of Systematic Reviews and Meta-Analyses. Int J Environ Res Public Health. 2021;18(4):1770. doi:10.3390/ijerph18041770. </w:t>
      </w:r>
      <w:hyperlink r:id="rId61" w:history="1">
        <w:r>
          <w:rPr>
            <w:rFonts w:ascii="Arial" w:hAnsi="Arial" w:eastAsia="Microsoft YaHei"/>
            <w:color w:val="0563C1"/>
            <w:u w:val="single"/>
            <w:sz w:val="17"/>
          </w:rPr>
          <w:t>https://pubmed.ncbi.nlm.nih.gov/33670337/</w:t>
        </w:r>
      </w:hyperlink>
    </w:p>
    <w:p>
      <w:pPr>
        <w:spacing w:line="240" w:lineRule="auto" w:after="16"/>
        <w:jc w:val="both"/>
      </w:pPr>
      <w:r>
        <w:rPr>
          <w:rFonts w:ascii="Arial" w:hAnsi="Arial" w:eastAsia="Microsoft YaHei"/>
          <w:b w:val="0"/>
          <w:i w:val="0"/>
          <w:color w:val="1C1F1E"/>
          <w:sz w:val="17"/>
        </w:rPr>
        <w:t xml:space="preserve">52. Antonelli M, Donelli D, Carlone L, Maggini V, Firenzuoli F, Bedeschi E. Effects of forest bathing (shinrin-yoku) on individual well-being: an umbrella review. Int J Environ Health Res. 2022;32(8):1842-1867. doi:10.1080/09603123.2021.1919293. </w:t>
      </w:r>
      <w:hyperlink r:id="rId62" w:history="1">
        <w:r>
          <w:rPr>
            <w:rFonts w:ascii="Arial" w:hAnsi="Arial" w:eastAsia="Microsoft YaHei"/>
            <w:color w:val="0563C1"/>
            <w:u w:val="single"/>
            <w:sz w:val="17"/>
          </w:rPr>
          <w:t>https://pubmed.ncbi.nlm.nih.gov/33910423/</w:t>
        </w:r>
      </w:hyperlink>
    </w:p>
    <w:p>
      <w:pPr>
        <w:spacing w:line="240" w:lineRule="auto" w:after="16"/>
        <w:jc w:val="both"/>
      </w:pPr>
      <w:r>
        <w:rPr>
          <w:rFonts w:ascii="Arial" w:hAnsi="Arial" w:eastAsia="Microsoft YaHei"/>
          <w:b w:val="0"/>
          <w:i w:val="0"/>
          <w:color w:val="1C1F1E"/>
          <w:sz w:val="17"/>
        </w:rPr>
        <w:t xml:space="preserve">53. Yau KK, Loke AY. Effects of forest bathing on pre-hypertensive and hypertensive adults: a review of the literature. Environ Health Prev Med. 2020;25(1):23. doi:10.1186/s12199-020-00856-7. </w:t>
      </w:r>
      <w:hyperlink r:id="rId63" w:history="1">
        <w:r>
          <w:rPr>
            <w:rFonts w:ascii="Arial" w:hAnsi="Arial" w:eastAsia="Microsoft YaHei"/>
            <w:color w:val="0563C1"/>
            <w:u w:val="single"/>
            <w:sz w:val="17"/>
          </w:rPr>
          <w:t>https://pubmed.ncbi.nlm.nih.gov/32571202/</w:t>
        </w:r>
      </w:hyperlink>
    </w:p>
    <w:p>
      <w:pPr>
        <w:spacing w:line="240" w:lineRule="auto" w:after="16"/>
        <w:jc w:val="both"/>
      </w:pPr>
      <w:r>
        <w:rPr>
          <w:rFonts w:ascii="Arial" w:hAnsi="Arial" w:eastAsia="Microsoft YaHei"/>
          <w:b w:val="0"/>
          <w:i w:val="0"/>
          <w:color w:val="1C1F1E"/>
          <w:sz w:val="17"/>
        </w:rPr>
        <w:t xml:space="preserve">54. Li Q, Morimoto K, Nakadai A, Inagaki H, Katsumata M, Shimizu T, et al. Forest bathing enhances human natural killer activity and expression of anti-cancer proteins. Int J Immunopathol Pharmacol. 2007;20(2 Suppl 2):3-8. doi:10.1177/03946320070200S202. </w:t>
      </w:r>
      <w:hyperlink r:id="rId64" w:history="1">
        <w:r>
          <w:rPr>
            <w:rFonts w:ascii="Arial" w:hAnsi="Arial" w:eastAsia="Microsoft YaHei"/>
            <w:color w:val="0563C1"/>
            <w:u w:val="single"/>
            <w:sz w:val="17"/>
          </w:rPr>
          <w:t>https://pubmed.ncbi.nlm.nih.gov/17903349/</w:t>
        </w:r>
      </w:hyperlink>
    </w:p>
    <w:p>
      <w:pPr>
        <w:spacing w:line="240" w:lineRule="auto" w:after="16"/>
        <w:jc w:val="both"/>
      </w:pPr>
      <w:r>
        <w:rPr>
          <w:rFonts w:ascii="Arial" w:hAnsi="Arial" w:eastAsia="Microsoft YaHei"/>
          <w:b w:val="0"/>
          <w:i w:val="0"/>
          <w:color w:val="1C1F1E"/>
          <w:sz w:val="17"/>
        </w:rPr>
        <w:t xml:space="preserve">55. Li Q, Kobayashi M, Inagaki H, Hirata Y, Li YJ, Hirata K, et al. A day trip to a forest park increases human natural killer activity and the expression of anti-cancer proteins in male subjects. J Biol Regul Homeost Agents. 2010;24(2):157-165. </w:t>
      </w:r>
      <w:hyperlink r:id="rId65" w:history="1">
        <w:r>
          <w:rPr>
            <w:rFonts w:ascii="Arial" w:hAnsi="Arial" w:eastAsia="Microsoft YaHei"/>
            <w:color w:val="0563C1"/>
            <w:u w:val="single"/>
            <w:sz w:val="17"/>
          </w:rPr>
          <w:t>https://pubmed.ncbi.nlm.nih.gov/20487629/</w:t>
        </w:r>
      </w:hyperlink>
    </w:p>
    <w:p>
      <w:pPr>
        <w:spacing w:line="240" w:lineRule="auto" w:after="16"/>
        <w:jc w:val="both"/>
      </w:pPr>
      <w:r>
        <w:rPr>
          <w:rFonts w:ascii="Arial" w:hAnsi="Arial" w:eastAsia="Microsoft YaHei"/>
          <w:b w:val="0"/>
          <w:i w:val="0"/>
          <w:color w:val="1C1F1E"/>
          <w:sz w:val="17"/>
        </w:rPr>
        <w:t xml:space="preserve">56. Chae Y, Lee S, Jo Y, Kang S, Park S, Kang H. The Effects of Forest Therapy on Immune Function. Int J Environ Res Public Health. 2021;18(16):8440. doi:10.3390/ijerph18168440. </w:t>
      </w:r>
      <w:hyperlink r:id="rId66" w:history="1">
        <w:r>
          <w:rPr>
            <w:rFonts w:ascii="Arial" w:hAnsi="Arial" w:eastAsia="Microsoft YaHei"/>
            <w:color w:val="0563C1"/>
            <w:u w:val="single"/>
            <w:sz w:val="17"/>
          </w:rPr>
          <w:t>https://pubmed.ncbi.nlm.nih.gov/34444188/</w:t>
        </w:r>
      </w:hyperlink>
    </w:p>
    <w:p>
      <w:pPr>
        <w:spacing w:line="240" w:lineRule="auto" w:after="16"/>
        <w:jc w:val="both"/>
      </w:pPr>
      <w:r>
        <w:rPr>
          <w:rFonts w:ascii="Arial" w:hAnsi="Arial" w:eastAsia="Microsoft YaHei"/>
          <w:b w:val="0"/>
          <w:i w:val="0"/>
          <w:color w:val="1C1F1E"/>
          <w:sz w:val="17"/>
        </w:rPr>
        <w:t xml:space="preserve">57. Lyu B, Zeng C, Xie S, Li D, Lin W, Li N, et al. Benefits of A Three-Day Bamboo Forest Therapy Session on the Psychophysiology and Immune System Responses of Male College Students. Int J Environ Res Public Health. 2019;16(24):4991. doi:10.3390/ijerph16244991. </w:t>
      </w:r>
      <w:hyperlink r:id="rId67" w:history="1">
        <w:r>
          <w:rPr>
            <w:rFonts w:ascii="Arial" w:hAnsi="Arial" w:eastAsia="Microsoft YaHei"/>
            <w:color w:val="0563C1"/>
            <w:u w:val="single"/>
            <w:sz w:val="17"/>
          </w:rPr>
          <w:t>https://pubmed.ncbi.nlm.nih.gov/31817971/</w:t>
        </w:r>
      </w:hyperlink>
    </w:p>
    <w:p>
      <w:pPr>
        <w:spacing w:line="240" w:lineRule="auto" w:after="16"/>
        <w:jc w:val="both"/>
      </w:pPr>
      <w:r>
        <w:rPr>
          <w:rFonts w:ascii="Arial" w:hAnsi="Arial" w:eastAsia="Microsoft YaHei"/>
          <w:b w:val="0"/>
          <w:i w:val="0"/>
          <w:color w:val="1C1F1E"/>
          <w:sz w:val="17"/>
        </w:rPr>
        <w:t xml:space="preserve">58. Ratcliffe E. Sound and Soundscape in Restorative Natural Environments: A Narrative Literature Review. Front Psychol. 2021;12:570563. doi:10.3389/fpsyg.2021.570563. </w:t>
      </w:r>
      <w:hyperlink r:id="rId68" w:history="1">
        <w:r>
          <w:rPr>
            <w:rFonts w:ascii="Arial" w:hAnsi="Arial" w:eastAsia="Microsoft YaHei"/>
            <w:color w:val="0563C1"/>
            <w:u w:val="single"/>
            <w:sz w:val="17"/>
          </w:rPr>
          <w:t>https://pubmed.ncbi.nlm.nih.gov/33981262/</w:t>
        </w:r>
      </w:hyperlink>
    </w:p>
    <w:p>
      <w:pPr>
        <w:spacing w:line="240" w:lineRule="auto" w:after="16"/>
        <w:jc w:val="both"/>
      </w:pPr>
      <w:r>
        <w:rPr>
          <w:rFonts w:ascii="Arial" w:hAnsi="Arial" w:eastAsia="Microsoft YaHei"/>
          <w:b w:val="0"/>
          <w:i w:val="0"/>
          <w:color w:val="1C1F1E"/>
          <w:sz w:val="17"/>
        </w:rPr>
        <w:t xml:space="preserve">59. Stobbe E, Sundermann J, Ascone L, Kühn S. Birdsongs alleviate anxiety and paranoia in healthy participants. Sci Rep. 2022;12(1):16414. doi:10.1038/s41598-022-20841-0. </w:t>
      </w:r>
      <w:hyperlink r:id="rId69" w:history="1">
        <w:r>
          <w:rPr>
            <w:rFonts w:ascii="Arial" w:hAnsi="Arial" w:eastAsia="Microsoft YaHei"/>
            <w:color w:val="0563C1"/>
            <w:u w:val="single"/>
            <w:sz w:val="17"/>
          </w:rPr>
          <w:t>https://pubmed.ncbi.nlm.nih.gov/36229489/</w:t>
        </w:r>
      </w:hyperlink>
    </w:p>
    <w:p>
      <w:pPr>
        <w:spacing w:line="240" w:lineRule="auto" w:after="16"/>
        <w:jc w:val="both"/>
      </w:pPr>
      <w:r>
        <w:rPr>
          <w:rFonts w:ascii="Arial" w:hAnsi="Arial" w:eastAsia="Microsoft YaHei"/>
          <w:b w:val="0"/>
          <w:i w:val="0"/>
          <w:color w:val="1C1F1E"/>
          <w:sz w:val="17"/>
        </w:rPr>
        <w:t xml:space="preserve">60. Jo H, Song C, Ikei H, Enomoto S, Kobayashi H, Miyazaki Y. Physiological and Psychological Effects of Forest and Urban Sounds Using High-Resolution Sound Sources. Int J Environ Res Public Health. 2019;16(15):2649. doi:10.3390/ijerph16152649. </w:t>
      </w:r>
      <w:hyperlink r:id="rId70" w:history="1">
        <w:r>
          <w:rPr>
            <w:rFonts w:ascii="Arial" w:hAnsi="Arial" w:eastAsia="Microsoft YaHei"/>
            <w:color w:val="0563C1"/>
            <w:u w:val="single"/>
            <w:sz w:val="17"/>
          </w:rPr>
          <w:t>https://pubmed.ncbi.nlm.nih.gov/31344973/</w:t>
        </w:r>
      </w:hyperlink>
    </w:p>
    <w:p>
      <w:pPr>
        <w:spacing w:line="240" w:lineRule="auto" w:after="16"/>
        <w:jc w:val="both"/>
      </w:pPr>
      <w:r>
        <w:rPr>
          <w:rFonts w:ascii="Arial" w:hAnsi="Arial" w:eastAsia="Microsoft YaHei"/>
          <w:b w:val="0"/>
          <w:i w:val="0"/>
          <w:color w:val="1C1F1E"/>
          <w:sz w:val="17"/>
        </w:rPr>
        <w:t xml:space="preserve">61. Longman DP, Van Hedger SC, McEwan K, Griffin E, Hannon C, Harvey I, et al. Forest soundscapes improve mood, restoration and cognition, but not physiological stress or immunity, relative to industrial soundscapes. Sci Rep. 2025;15(1):33967. doi:10.1038/s41598-025-11469-x. </w:t>
      </w:r>
      <w:hyperlink r:id="rId71" w:history="1">
        <w:r>
          <w:rPr>
            <w:rFonts w:ascii="Arial" w:hAnsi="Arial" w:eastAsia="Microsoft YaHei"/>
            <w:color w:val="0563C1"/>
            <w:u w:val="single"/>
            <w:sz w:val="17"/>
          </w:rPr>
          <w:t>https://pubmed.ncbi.nlm.nih.gov/41028066/</w:t>
        </w:r>
      </w:hyperlink>
    </w:p>
    <w:p>
      <w:pPr>
        <w:spacing w:line="240" w:lineRule="auto" w:after="16"/>
        <w:jc w:val="both"/>
      </w:pPr>
      <w:r>
        <w:rPr>
          <w:rFonts w:ascii="Arial" w:hAnsi="Arial" w:eastAsia="Microsoft YaHei"/>
          <w:b w:val="0"/>
          <w:i w:val="0"/>
          <w:color w:val="1C1F1E"/>
          <w:sz w:val="17"/>
        </w:rPr>
        <w:t xml:space="preserve">62. Reid CA, Green JD, Wildschut T, Sedikides C. Scent-evoked nostalgia. Memory. 2015;23(2):157-166. doi:10.1080/09658211.2013.876048. </w:t>
      </w:r>
      <w:hyperlink r:id="rId72" w:history="1">
        <w:r>
          <w:rPr>
            <w:rFonts w:ascii="Arial" w:hAnsi="Arial" w:eastAsia="Microsoft YaHei"/>
            <w:color w:val="0563C1"/>
            <w:u w:val="single"/>
            <w:sz w:val="17"/>
          </w:rPr>
          <w:t>https://pubmed.ncbi.nlm.nih.gov/24456210/</w:t>
        </w:r>
      </w:hyperlink>
    </w:p>
    <w:p>
      <w:pPr>
        <w:spacing w:line="240" w:lineRule="auto" w:after="16"/>
        <w:jc w:val="both"/>
      </w:pPr>
      <w:r>
        <w:rPr>
          <w:rFonts w:ascii="Arial" w:hAnsi="Arial" w:eastAsia="Microsoft YaHei"/>
          <w:b w:val="0"/>
          <w:i w:val="0"/>
          <w:color w:val="1C1F1E"/>
          <w:sz w:val="17"/>
        </w:rPr>
        <w:t xml:space="preserve">63. Hedblom M, Gunnarsson B, Iravani B, Knez I, Schaefer M, Thorsson P, et al. Reduction of physiological stress by urban green space in a multisensory virtual experiment. Sci Rep. 2019;9(1):10113. doi:10.1038/s41598-019-46099-7. </w:t>
      </w:r>
      <w:hyperlink r:id="rId73" w:history="1">
        <w:r>
          <w:rPr>
            <w:rFonts w:ascii="Arial" w:hAnsi="Arial" w:eastAsia="Microsoft YaHei"/>
            <w:color w:val="0563C1"/>
            <w:u w:val="single"/>
            <w:sz w:val="17"/>
          </w:rPr>
          <w:t>https://pubmed.ncbi.nlm.nih.gov/31300656/</w:t>
        </w:r>
      </w:hyperlink>
    </w:p>
    <w:p>
      <w:pPr>
        <w:spacing w:line="240" w:lineRule="auto" w:after="16"/>
        <w:jc w:val="both"/>
      </w:pPr>
      <w:r>
        <w:rPr>
          <w:rFonts w:ascii="Arial" w:hAnsi="Arial" w:eastAsia="Microsoft YaHei"/>
          <w:b w:val="0"/>
          <w:i w:val="0"/>
          <w:color w:val="1C1F1E"/>
          <w:sz w:val="17"/>
        </w:rPr>
        <w:t xml:space="preserve">64. Elsadek M, Shao Y, Liu B. Benefits of Indirect Contact With Nature on the Physiopsychological Well-Being of Elderly People. HERD. 2021;14(4):227-241. doi:10.1177/19375867211006654. </w:t>
      </w:r>
      <w:hyperlink r:id="rId74" w:history="1">
        <w:r>
          <w:rPr>
            <w:rFonts w:ascii="Arial" w:hAnsi="Arial" w:eastAsia="Microsoft YaHei"/>
            <w:color w:val="0563C1"/>
            <w:u w:val="single"/>
            <w:sz w:val="17"/>
          </w:rPr>
          <w:t>https://pubmed.ncbi.nlm.nih.gov/33827295/</w:t>
        </w:r>
      </w:hyperlink>
    </w:p>
    <w:p>
      <w:pPr>
        <w:spacing w:line="240" w:lineRule="auto" w:after="16"/>
        <w:jc w:val="both"/>
      </w:pPr>
      <w:r>
        <w:rPr>
          <w:rFonts w:ascii="Arial" w:hAnsi="Arial" w:eastAsia="Microsoft YaHei"/>
          <w:b w:val="0"/>
          <w:i w:val="0"/>
          <w:color w:val="1C1F1E"/>
          <w:sz w:val="17"/>
        </w:rPr>
        <w:t xml:space="preserve">65. McDonnell AS, Strayer DL. The influence of a walk in nature on human resting brain activity: a randomized controlled trial. Sci Rep. 2024;14(1):27253. doi:10.1038/s41598-024-78508-x. </w:t>
      </w:r>
      <w:hyperlink r:id="rId75" w:history="1">
        <w:r>
          <w:rPr>
            <w:rFonts w:ascii="Arial" w:hAnsi="Arial" w:eastAsia="Microsoft YaHei"/>
            <w:color w:val="0563C1"/>
            <w:u w:val="single"/>
            <w:sz w:val="17"/>
          </w:rPr>
          <w:t>https://pubmed.ncbi.nlm.nih.gov/39516236/</w:t>
        </w:r>
      </w:hyperlink>
    </w:p>
    <w:p>
      <w:pPr>
        <w:spacing w:line="240" w:lineRule="auto" w:after="16"/>
        <w:jc w:val="both"/>
      </w:pPr>
      <w:r>
        <w:rPr>
          <w:rFonts w:ascii="Arial" w:hAnsi="Arial" w:eastAsia="Microsoft YaHei"/>
          <w:b w:val="0"/>
          <w:i w:val="0"/>
          <w:color w:val="1C1F1E"/>
          <w:sz w:val="17"/>
        </w:rPr>
        <w:t xml:space="preserve">66. Wang Y, Jiang M, Huang Y, Sheng Z, Huang X, Lin W, et al. Physiological and Psychological Effects of Watching Videos of Different Durations Showing Urban Bamboo Forests with Varied Structures. Int J Environ Res Public Health. 2020;17(10):3434. doi:10.3390/ijerph17103434. </w:t>
      </w:r>
      <w:hyperlink r:id="rId76" w:history="1">
        <w:r>
          <w:rPr>
            <w:rFonts w:ascii="Arial" w:hAnsi="Arial" w:eastAsia="Microsoft YaHei"/>
            <w:color w:val="0563C1"/>
            <w:u w:val="single"/>
            <w:sz w:val="17"/>
          </w:rPr>
          <w:t>https://pubmed.ncbi.nlm.nih.gov/32423106/</w:t>
        </w:r>
      </w:hyperlink>
    </w:p>
    <w:p>
      <w:pPr>
        <w:spacing w:line="240" w:lineRule="auto" w:after="16"/>
        <w:jc w:val="both"/>
      </w:pPr>
      <w:r>
        <w:rPr>
          <w:rFonts w:ascii="Arial" w:hAnsi="Arial" w:eastAsia="Microsoft YaHei"/>
          <w:b w:val="0"/>
          <w:i w:val="0"/>
          <w:color w:val="1C1F1E"/>
          <w:sz w:val="17"/>
        </w:rPr>
        <w:t xml:space="preserve">67. Lin W, Chen Q, Jiang M, Tao J, Liu Z, Zhang X, et al. Sitting or Walking? Analyzing the Neural Emotional Indicators of Urban Green Space Behavior with Mobile EEG. J Urban Health. 2020;97(2):191-203. doi:10.1007/s11524-019-00407-8. </w:t>
      </w:r>
      <w:hyperlink r:id="rId77" w:history="1">
        <w:r>
          <w:rPr>
            <w:rFonts w:ascii="Arial" w:hAnsi="Arial" w:eastAsia="Microsoft YaHei"/>
            <w:color w:val="0563C1"/>
            <w:u w:val="single"/>
            <w:sz w:val="17"/>
          </w:rPr>
          <w:t>https://pubmed.ncbi.nlm.nih.gov/31898198/</w:t>
        </w:r>
      </w:hyperlink>
    </w:p>
    <w:p>
      <w:pPr>
        <w:spacing w:line="240" w:lineRule="auto" w:after="16"/>
        <w:jc w:val="both"/>
      </w:pPr>
      <w:r>
        <w:rPr>
          <w:rFonts w:ascii="Arial" w:hAnsi="Arial" w:eastAsia="Microsoft YaHei"/>
          <w:b w:val="0"/>
          <w:i w:val="0"/>
          <w:color w:val="1C1F1E"/>
          <w:sz w:val="17"/>
        </w:rPr>
        <w:t xml:space="preserve">68. Jiang SY, Ma A, Ramachandran S. Negative Air Ions and Their Effects on Human Health and Air Quality Improvement. Int J Mol Sci. 2018;19(10):2966. doi:10.3390/ijms19102966. </w:t>
      </w:r>
      <w:hyperlink r:id="rId78" w:history="1">
        <w:r>
          <w:rPr>
            <w:rFonts w:ascii="Arial" w:hAnsi="Arial" w:eastAsia="Microsoft YaHei"/>
            <w:color w:val="0563C1"/>
            <w:u w:val="single"/>
            <w:sz w:val="17"/>
          </w:rPr>
          <w:t>https://pubmed.ncbi.nlm.nih.gov/30274196/</w:t>
        </w:r>
      </w:hyperlink>
    </w:p>
    <w:p>
      <w:pPr>
        <w:spacing w:line="240" w:lineRule="auto" w:after="16"/>
        <w:jc w:val="both"/>
      </w:pPr>
      <w:r>
        <w:rPr>
          <w:rFonts w:ascii="Arial" w:hAnsi="Arial" w:eastAsia="Microsoft YaHei"/>
          <w:b w:val="0"/>
          <w:i w:val="0"/>
          <w:color w:val="1C1F1E"/>
          <w:sz w:val="17"/>
        </w:rPr>
        <w:t xml:space="preserve">69. Della Vecchia A, Mucci F, Pozza A, Marazziti D. Negative Air Ions in Neuropsychiatric Disorders. Curr Med Chem. 2021;28(13):2521-2539. doi:10.2174/0929867327666200630104550. </w:t>
      </w:r>
      <w:hyperlink r:id="rId79" w:history="1">
        <w:r>
          <w:rPr>
            <w:rFonts w:ascii="Arial" w:hAnsi="Arial" w:eastAsia="Microsoft YaHei"/>
            <w:color w:val="0563C1"/>
            <w:u w:val="single"/>
            <w:sz w:val="17"/>
          </w:rPr>
          <w:t>https://pubmed.ncbi.nlm.nih.gov/32603272/</w:t>
        </w:r>
      </w:hyperlink>
    </w:p>
    <w:p>
      <w:pPr>
        <w:spacing w:line="240" w:lineRule="auto" w:after="16"/>
        <w:jc w:val="both"/>
      </w:pPr>
      <w:r>
        <w:rPr>
          <w:rFonts w:ascii="Arial" w:hAnsi="Arial" w:eastAsia="Microsoft YaHei"/>
          <w:b w:val="0"/>
          <w:i w:val="0"/>
          <w:color w:val="1C1F1E"/>
          <w:sz w:val="17"/>
        </w:rPr>
        <w:t xml:space="preserve">70. Gálvez I, Torres-Piles S, Ortega-Rincón E. Balneotherapy, Immune System, and Stress Response: A Hormetic Strategy? Int J Mol Sci. 2018;19(6):1687. doi:10.3390/ijms19061687. </w:t>
      </w:r>
      <w:hyperlink r:id="rId80" w:history="1">
        <w:r>
          <w:rPr>
            <w:rFonts w:ascii="Arial" w:hAnsi="Arial" w:eastAsia="Microsoft YaHei"/>
            <w:color w:val="0563C1"/>
            <w:u w:val="single"/>
            <w:sz w:val="17"/>
          </w:rPr>
          <w:t>https://pubmed.ncbi.nlm.nih.gov/29882782/</w:t>
        </w:r>
      </w:hyperlink>
    </w:p>
    <w:p>
      <w:pPr>
        <w:spacing w:line="240" w:lineRule="auto" w:after="16"/>
        <w:jc w:val="both"/>
      </w:pPr>
      <w:r>
        <w:rPr>
          <w:rFonts w:ascii="Arial" w:hAnsi="Arial" w:eastAsia="Microsoft YaHei"/>
          <w:b w:val="0"/>
          <w:i w:val="0"/>
          <w:color w:val="1C1F1E"/>
          <w:sz w:val="17"/>
        </w:rPr>
        <w:t xml:space="preserve">71. Yamasaki S, Maeda T, Horiuchi T. Association between habitual hot spring bathing and depression in Japanese older adults: A retrospective study in Beppu. Complement Ther Med. 2023;72:102909. doi:10.1016/j.ctim.2022.102909. </w:t>
      </w:r>
      <w:hyperlink r:id="rId81" w:history="1">
        <w:r>
          <w:rPr>
            <w:rFonts w:ascii="Arial" w:hAnsi="Arial" w:eastAsia="Microsoft YaHei"/>
            <w:color w:val="0563C1"/>
            <w:u w:val="single"/>
            <w:sz w:val="17"/>
          </w:rPr>
          <w:t>https://pubmed.ncbi.nlm.nih.gov/36526152/</w:t>
        </w:r>
      </w:hyperlink>
    </w:p>
    <w:p>
      <w:pPr>
        <w:spacing w:line="240" w:lineRule="auto" w:after="16"/>
        <w:jc w:val="both"/>
      </w:pPr>
      <w:r>
        <w:rPr>
          <w:rFonts w:ascii="Arial" w:hAnsi="Arial" w:eastAsia="Microsoft YaHei"/>
          <w:b w:val="0"/>
          <w:i w:val="0"/>
          <w:color w:val="1C1F1E"/>
          <w:sz w:val="17"/>
        </w:rPr>
        <w:t xml:space="preserve">72. Epel ES, Blackburn EH, Lin J, Dhabhar FS, Adler NE, Morrow JD, et al. Accelerated telomere shortening in response to life stress. Proc Natl Acad Sci U S A. 2004;101(49):17312-17315. doi:10.1073/pnas.0407162101. </w:t>
      </w:r>
      <w:hyperlink r:id="rId82" w:history="1">
        <w:r>
          <w:rPr>
            <w:rFonts w:ascii="Arial" w:hAnsi="Arial" w:eastAsia="Microsoft YaHei"/>
            <w:color w:val="0563C1"/>
            <w:u w:val="single"/>
            <w:sz w:val="17"/>
          </w:rPr>
          <w:t>https://pubmed.ncbi.nlm.nih.gov/15574496/</w:t>
        </w:r>
      </w:hyperlink>
    </w:p>
    <w:p>
      <w:pPr>
        <w:spacing w:line="240" w:lineRule="auto" w:after="16"/>
        <w:jc w:val="both"/>
      </w:pPr>
      <w:r>
        <w:rPr>
          <w:rFonts w:ascii="Arial" w:hAnsi="Arial" w:eastAsia="Microsoft YaHei"/>
          <w:b w:val="0"/>
          <w:i w:val="0"/>
          <w:color w:val="1C1F1E"/>
          <w:sz w:val="17"/>
        </w:rPr>
        <w:t xml:space="preserve">73. Lin J, Epel E. Stress and telomere shortening: Insights from cellular mechanisms. Ageing Res Rev. 2022;73:101507. doi:10.1016/j.arr.2021.101507. </w:t>
      </w:r>
      <w:hyperlink r:id="rId83" w:history="1">
        <w:r>
          <w:rPr>
            <w:rFonts w:ascii="Arial" w:hAnsi="Arial" w:eastAsia="Microsoft YaHei"/>
            <w:color w:val="0563C1"/>
            <w:u w:val="single"/>
            <w:sz w:val="17"/>
          </w:rPr>
          <w:t>https://pubmed.ncbi.nlm.nih.gov/34736994/</w:t>
        </w:r>
      </w:hyperlink>
    </w:p>
    <w:p>
      <w:pPr>
        <w:spacing w:line="240" w:lineRule="auto" w:after="16"/>
        <w:jc w:val="both"/>
      </w:pPr>
      <w:r>
        <w:rPr>
          <w:rFonts w:ascii="Arial" w:hAnsi="Arial" w:eastAsia="Microsoft YaHei"/>
          <w:b w:val="0"/>
          <w:i w:val="0"/>
          <w:color w:val="1C1F1E"/>
          <w:sz w:val="17"/>
        </w:rPr>
        <w:t xml:space="preserve">74. Schutte NS, Malouff JM, Keng SL. Meditation and telomere length: a meta-analysis. Psychol Health. 2020;35(8):901-915. doi:10.1080/08870446.2019.1707827. </w:t>
      </w:r>
      <w:hyperlink r:id="rId84" w:history="1">
        <w:r>
          <w:rPr>
            <w:rFonts w:ascii="Arial" w:hAnsi="Arial" w:eastAsia="Microsoft YaHei"/>
            <w:color w:val="0563C1"/>
            <w:u w:val="single"/>
            <w:sz w:val="17"/>
          </w:rPr>
          <w:t>https://pubmed.ncbi.nlm.nih.gov/31903785/</w:t>
        </w:r>
      </w:hyperlink>
    </w:p>
    <w:p>
      <w:pPr>
        <w:spacing w:line="240" w:lineRule="auto" w:after="16"/>
        <w:jc w:val="both"/>
      </w:pPr>
      <w:r>
        <w:rPr>
          <w:rFonts w:ascii="Arial" w:hAnsi="Arial" w:eastAsia="Microsoft YaHei"/>
          <w:b w:val="0"/>
          <w:i w:val="0"/>
          <w:color w:val="1C1F1E"/>
          <w:sz w:val="17"/>
        </w:rPr>
        <w:t xml:space="preserve">75. Kaliman P, Álvarez-López MJ, Lehodey A, Fernández D, Chocat A, Schlosser M, et al. Effect of an 18-Month Meditation Training on Telomeres in Older Adults: A Secondary Analysis of the Age-Well Randomized Controlled Trial. Biol Psychiatry Glob Open Sci. 2025;5(1):100398. doi:10.1016/j.bpsgos.2024.100398. </w:t>
      </w:r>
      <w:hyperlink r:id="rId85" w:history="1">
        <w:r>
          <w:rPr>
            <w:rFonts w:ascii="Arial" w:hAnsi="Arial" w:eastAsia="Microsoft YaHei"/>
            <w:color w:val="0563C1"/>
            <w:u w:val="single"/>
            <w:sz w:val="17"/>
          </w:rPr>
          <w:t>https://pubmed.ncbi.nlm.nih.gov/39582797/</w:t>
        </w:r>
      </w:hyperlink>
    </w:p>
    <w:p>
      <w:pPr>
        <w:spacing w:line="240" w:lineRule="auto" w:after="16"/>
        <w:jc w:val="both"/>
      </w:pPr>
      <w:r>
        <w:rPr>
          <w:rFonts w:ascii="Arial" w:hAnsi="Arial" w:eastAsia="Microsoft YaHei"/>
          <w:b w:val="0"/>
          <w:i w:val="0"/>
          <w:color w:val="1C1F1E"/>
          <w:sz w:val="17"/>
        </w:rPr>
        <w:t xml:space="preserve">76. Li Q. Potential preventive effects of forest bathing/Shinrin-yoku on depressive symptoms: a narrative review of mechanistic evidence. Environ Health Prev Med. 2026;31:47. doi:10.1265/ehpm.26-00028. </w:t>
      </w:r>
      <w:hyperlink r:id="rId86" w:history="1">
        <w:r>
          <w:rPr>
            <w:rFonts w:ascii="Arial" w:hAnsi="Arial" w:eastAsia="Microsoft YaHei"/>
            <w:color w:val="0563C1"/>
            <w:u w:val="single"/>
            <w:sz w:val="17"/>
          </w:rPr>
          <w:t>https://pubmed.ncbi.nlm.nih.gov/42437991/</w:t>
        </w:r>
      </w:hyperlink>
    </w:p>
    <w:p>
      <w:pPr>
        <w:spacing w:line="240" w:lineRule="auto" w:after="16"/>
        <w:jc w:val="both"/>
      </w:pPr>
      <w:r>
        <w:rPr>
          <w:rFonts w:ascii="Arial" w:hAnsi="Arial" w:eastAsia="Microsoft YaHei"/>
          <w:b w:val="0"/>
          <w:i w:val="0"/>
          <w:color w:val="1C1F1E"/>
          <w:sz w:val="17"/>
        </w:rPr>
        <w:t xml:space="preserve">77. Meinköhn M, Kessler CS, Kandil FI, Kuballa L, Schweininger S, von Scheidt C, et al. Effects of Forest Therapy on Participant-Reported Outcomes: A Randomized Controlled Dose-Comparison Trial Among the General Population in Germany. J Integr Complement Med. 2025;31(9):826-843. doi:10.1089/jicm.2024.0744. </w:t>
      </w:r>
      <w:hyperlink r:id="rId87" w:history="1">
        <w:r>
          <w:rPr>
            <w:rFonts w:ascii="Arial" w:hAnsi="Arial" w:eastAsia="Microsoft YaHei"/>
            <w:color w:val="0563C1"/>
            <w:u w:val="single"/>
            <w:sz w:val="17"/>
          </w:rPr>
          <w:t>https://pubmed.ncbi.nlm.nih.gov/40485383/</w:t>
        </w:r>
      </w:hyperlink>
    </w:p>
    <w:p>
      <w:pPr>
        <w:spacing w:line="240" w:lineRule="auto" w:after="16"/>
        <w:jc w:val="both"/>
      </w:pPr>
      <w:r>
        <w:rPr>
          <w:rFonts w:ascii="Arial" w:hAnsi="Arial" w:eastAsia="Microsoft YaHei"/>
          <w:b w:val="0"/>
          <w:i w:val="0"/>
          <w:color w:val="1C1F1E"/>
          <w:sz w:val="17"/>
        </w:rPr>
        <w:t xml:space="preserve">78. Ríos-Rodríguez ML, Rosales C, Hernández B, Lorenzo M. Benefits for emotional regulation of contact with nature: a systematic review. Front Psychol. 2024;15:1402885. doi:10.3389/fpsyg.2024.1402885. </w:t>
      </w:r>
      <w:hyperlink r:id="rId88" w:history="1">
        <w:r>
          <w:rPr>
            <w:rFonts w:ascii="Arial" w:hAnsi="Arial" w:eastAsia="Microsoft YaHei"/>
            <w:color w:val="0563C1"/>
            <w:u w:val="single"/>
            <w:sz w:val="17"/>
          </w:rPr>
          <w:t>https://pubmed.ncbi.nlm.nih.gov/39100558/</w:t>
        </w:r>
      </w:hyperlink>
    </w:p>
    <w:p>
      <w:pPr>
        <w:spacing w:line="240" w:lineRule="auto" w:after="16"/>
        <w:jc w:val="both"/>
      </w:pPr>
      <w:r>
        <w:rPr>
          <w:rFonts w:ascii="Arial" w:hAnsi="Arial" w:eastAsia="Microsoft YaHei"/>
          <w:b w:val="0"/>
          <w:i w:val="0"/>
          <w:color w:val="1C1F1E"/>
          <w:sz w:val="17"/>
        </w:rPr>
        <w:t xml:space="preserve">79. Fan L, Baharum MR. The effects of digital nature and actual nature on stress reduction: a meta-analysis and systematic review. Internet Interv. 2024;38:100772. doi:10.1016/j.invent.2024.100772. </w:t>
      </w:r>
      <w:hyperlink r:id="rId89" w:history="1">
        <w:r>
          <w:rPr>
            <w:rFonts w:ascii="Arial" w:hAnsi="Arial" w:eastAsia="Microsoft YaHei"/>
            <w:color w:val="0563C1"/>
            <w:u w:val="single"/>
            <w:sz w:val="17"/>
          </w:rPr>
          <w:t>https://pubmed.ncbi.nlm.nih.gov/39329057/</w:t>
        </w:r>
      </w:hyperlink>
    </w:p>
    <w:p>
      <w:pPr>
        <w:spacing w:line="240" w:lineRule="auto" w:after="16"/>
        <w:jc w:val="both"/>
      </w:pPr>
      <w:r>
        <w:rPr>
          <w:rFonts w:ascii="Arial" w:hAnsi="Arial" w:eastAsia="Microsoft YaHei"/>
          <w:b w:val="0"/>
          <w:i w:val="0"/>
          <w:color w:val="1C1F1E"/>
          <w:sz w:val="17"/>
        </w:rPr>
        <w:t xml:space="preserve">80. World Health Organization; International Union for Conservation of Nature. Nature-based solutions for health: leveraging biodiversity to create health-promoting environments. Geneva: World Health Organization; 2024. </w:t>
      </w:r>
      <w:hyperlink r:id="rId90" w:history="1">
        <w:r>
          <w:rPr>
            <w:rFonts w:ascii="Arial" w:hAnsi="Arial" w:eastAsia="Microsoft YaHei"/>
            <w:color w:val="0563C1"/>
            <w:u w:val="single"/>
            <w:sz w:val="17"/>
          </w:rPr>
          <w:t>https://www.who.int/publications/m/item/nature-based-solutions-for-health--leveraging-biodiversity-to-create-health-promoting-environments</w:t>
        </w:r>
      </w:hyperlink>
    </w:p>
    <w:p>
      <w:pPr>
        <w:spacing w:line="240" w:lineRule="auto" w:after="16"/>
        <w:jc w:val="both"/>
      </w:pPr>
      <w:r>
        <w:rPr>
          <w:rFonts w:ascii="Arial" w:hAnsi="Arial" w:eastAsia="Microsoft YaHei"/>
          <w:b w:val="0"/>
          <w:i w:val="0"/>
          <w:color w:val="1C1F1E"/>
          <w:sz w:val="17"/>
        </w:rPr>
        <w:t xml:space="preserve">81. Yin J, Yuan J, Arfaei N, Catalano PJ, Allen JG, Spengler JD. Effects of biophilic indoor environment on stress and anxiety recovery: a between-subjects experiment in virtual reality. Environ Int. 2020;136:105427. doi:10.1016/j.envint.2019.105427. </w:t>
      </w:r>
      <w:hyperlink r:id="rId91" w:history="1">
        <w:r>
          <w:rPr>
            <w:rFonts w:ascii="Arial" w:hAnsi="Arial" w:eastAsia="Microsoft YaHei"/>
            <w:color w:val="0563C1"/>
            <w:u w:val="single"/>
            <w:sz w:val="17"/>
          </w:rPr>
          <w:t>https://pubmed.ncbi.nlm.nih.gov/31881421/</w:t>
        </w:r>
      </w:hyperlink>
    </w:p>
    <w:p>
      <w:pPr>
        <w:spacing w:line="240" w:lineRule="auto" w:after="16"/>
        <w:jc w:val="both"/>
      </w:pPr>
      <w:r>
        <w:rPr>
          <w:rFonts w:ascii="Arial" w:hAnsi="Arial" w:eastAsia="Microsoft YaHei"/>
          <w:b w:val="0"/>
          <w:i w:val="0"/>
          <w:color w:val="1C1F1E"/>
          <w:sz w:val="17"/>
        </w:rPr>
        <w:t xml:space="preserve">82. Schebella MF, Weber D, Schultz L, Weinstein P. The Nature of Reality: Human Stress Recovery During Exposure to Biodiverse, Multisensory Virtual Environments. Int J Environ Res Public Health. 2020;17(1):56. doi:10.3390/ijerph17010056. </w:t>
      </w:r>
      <w:hyperlink r:id="rId92" w:history="1">
        <w:r>
          <w:rPr>
            <w:rFonts w:ascii="Arial" w:hAnsi="Arial" w:eastAsia="Microsoft YaHei"/>
            <w:color w:val="0563C1"/>
            <w:u w:val="single"/>
            <w:sz w:val="17"/>
          </w:rPr>
          <w:t>https://pubmed.ncbi.nlm.nih.gov/31861700/</w:t>
        </w:r>
      </w:hyperlink>
    </w:p>
    <w:p>
      <w:pPr>
        <w:spacing w:line="240" w:lineRule="auto" w:after="16"/>
        <w:jc w:val="both"/>
      </w:pPr>
      <w:r>
        <w:rPr>
          <w:rFonts w:ascii="Arial" w:hAnsi="Arial" w:eastAsia="Microsoft YaHei"/>
          <w:b w:val="0"/>
          <w:i w:val="0"/>
          <w:color w:val="1C1F1E"/>
          <w:sz w:val="17"/>
        </w:rPr>
        <w:t xml:space="preserve">83. 環境省. 温泉の定義―温泉及び療養泉の温度・含有物質・泉質分類. </w:t>
      </w:r>
      <w:hyperlink r:id="rId93" w:history="1">
        <w:r>
          <w:rPr>
            <w:rFonts w:ascii="Arial" w:hAnsi="Arial" w:eastAsia="Microsoft YaHei"/>
            <w:color w:val="0563C1"/>
            <w:u w:val="single"/>
            <w:sz w:val="17"/>
          </w:rPr>
          <w:t>https://www.env.go.jp/nature/onsen/point/index.html</w:t>
        </w:r>
      </w:hyperlink>
    </w:p>
    <w:p>
      <w:pPr>
        <w:spacing w:line="240" w:lineRule="auto" w:after="16"/>
        <w:jc w:val="both"/>
      </w:pPr>
      <w:r>
        <w:rPr>
          <w:rFonts w:ascii="Arial" w:hAnsi="Arial" w:eastAsia="Microsoft YaHei"/>
          <w:b w:val="0"/>
          <w:i w:val="0"/>
          <w:color w:val="1C1F1E"/>
          <w:sz w:val="17"/>
        </w:rPr>
        <w:t xml:space="preserve">84. 環境省自然環境局. 鉱泉分析法指針及び温泉の成分、泉質、適応症等の掲示基準. 2021. </w:t>
      </w:r>
      <w:hyperlink r:id="rId94" w:history="1">
        <w:r>
          <w:rPr>
            <w:rFonts w:ascii="Arial" w:hAnsi="Arial" w:eastAsia="Microsoft YaHei"/>
            <w:color w:val="0563C1"/>
            <w:u w:val="single"/>
            <w:sz w:val="17"/>
          </w:rPr>
          <w:t>https://www.env.go.jp/nature/onsen/pdf/hyouki2021.pdf</w:t>
        </w:r>
      </w:hyperlink>
    </w:p>
    <w:p>
      <w:pPr>
        <w:spacing w:line="240" w:lineRule="auto" w:after="16"/>
        <w:jc w:val="both"/>
      </w:pPr>
      <w:r>
        <w:rPr>
          <w:rFonts w:ascii="Arial" w:hAnsi="Arial" w:eastAsia="Microsoft YaHei"/>
          <w:b w:val="0"/>
          <w:i w:val="0"/>
          <w:color w:val="1C1F1E"/>
          <w:sz w:val="17"/>
        </w:rPr>
        <w:t xml:space="preserve">85. 李卿, 川田智之. 森林医学の臨床応用の可能性. 日本衛生学雑誌. 2014;69(2):117-121. doi:10.1265/jjh.69.117. </w:t>
      </w:r>
      <w:hyperlink r:id="rId95" w:history="1">
        <w:r>
          <w:rPr>
            <w:rFonts w:ascii="Arial" w:hAnsi="Arial" w:eastAsia="Microsoft YaHei"/>
            <w:color w:val="0563C1"/>
            <w:u w:val="single"/>
            <w:sz w:val="17"/>
          </w:rPr>
          <w:t>https://www.jstage.jst.go.jp/article/jjh/69/2/69_117/_article/-char/ja/</w:t>
        </w:r>
      </w:hyperlink>
    </w:p>
    <w:p>
      <w:pPr>
        <w:spacing w:line="240" w:lineRule="auto" w:after="16"/>
        <w:jc w:val="both"/>
      </w:pPr>
      <w:r>
        <w:rPr>
          <w:rFonts w:ascii="Arial" w:hAnsi="Arial" w:eastAsia="Microsoft YaHei"/>
          <w:b w:val="0"/>
          <w:i w:val="0"/>
          <w:color w:val="1C1F1E"/>
          <w:sz w:val="17"/>
        </w:rPr>
        <w:t xml:space="preserve">86. 李卿. 森林医学及びそのリハビリテーション医学への応用について. 日本医科大学医学会雑誌. 2021;17(4):229. doi:10.1272/manms.17.229. </w:t>
      </w:r>
      <w:hyperlink r:id="rId96" w:history="1">
        <w:r>
          <w:rPr>
            <w:rFonts w:ascii="Arial" w:hAnsi="Arial" w:eastAsia="Microsoft YaHei"/>
            <w:color w:val="0563C1"/>
            <w:u w:val="single"/>
            <w:sz w:val="17"/>
          </w:rPr>
          <w:t>https://www.jstage.jst.go.jp/article/manms/17/4/17_229/_pdf/-char/ja</w:t>
        </w:r>
      </w:hyperlink>
    </w:p>
    <w:p>
      <w:pPr>
        <w:spacing w:line="240" w:lineRule="auto" w:after="16"/>
        <w:jc w:val="both"/>
      </w:pPr>
      <w:r>
        <w:rPr>
          <w:rFonts w:ascii="Arial" w:hAnsi="Arial" w:eastAsia="Microsoft YaHei"/>
          <w:b w:val="0"/>
          <w:i w:val="0"/>
          <w:color w:val="1C1F1E"/>
          <w:sz w:val="17"/>
        </w:rPr>
        <w:t xml:space="preserve">87. 李卿, 青柳陽一郎. 森林医学のリハビリテーション医療への応用. The Japanese Journal of Rehabilitation Medicine. 2025;62(5):469-473. doi:10.2490/jjrmc.62.469. </w:t>
      </w:r>
      <w:hyperlink r:id="rId97" w:history="1">
        <w:r>
          <w:rPr>
            <w:rFonts w:ascii="Arial" w:hAnsi="Arial" w:eastAsia="Microsoft YaHei"/>
            <w:color w:val="0563C1"/>
            <w:u w:val="single"/>
            <w:sz w:val="17"/>
          </w:rPr>
          <w:t>https://www.jstage.jst.go.jp/article/jjrmc/62/5/62_62.469/_article/-char/ja/</w:t>
        </w:r>
      </w:hyperlink>
    </w:p>
    <w:p>
      <w:pPr>
        <w:spacing w:line="240" w:lineRule="auto" w:after="16"/>
        <w:jc w:val="both"/>
      </w:pPr>
      <w:r>
        <w:rPr>
          <w:rFonts w:ascii="Arial" w:hAnsi="Arial" w:eastAsia="Microsoft YaHei"/>
          <w:b w:val="0"/>
          <w:i w:val="0"/>
          <w:color w:val="1C1F1E"/>
          <w:sz w:val="17"/>
        </w:rPr>
        <w:t xml:space="preserve">88. Aoyagi Y, Furuya R, Kawasaki M, Takenouchi M, Ohashi M, Li Q. Inhaled hinoki cypress essential oil improves saliva secretion and swallowing function in older adults with dysphagia: a randomized crossover study. Environ Health Prev Med. 2026;31:4. doi:10.1265/ehpm.25-00319. </w:t>
      </w:r>
      <w:hyperlink r:id="rId98" w:history="1">
        <w:r>
          <w:rPr>
            <w:rFonts w:ascii="Arial" w:hAnsi="Arial" w:eastAsia="Microsoft YaHei"/>
            <w:color w:val="0563C1"/>
            <w:u w:val="single"/>
            <w:sz w:val="17"/>
          </w:rPr>
          <w:t>https://www.jstage.jst.go.jp/article/ehpm/31/0/31_25-00319/_article/-char/en</w:t>
        </w:r>
      </w:hyperlink>
    </w:p>
    <w:p>
      <w:pPr>
        <w:spacing w:line="240" w:lineRule="auto" w:after="16"/>
        <w:jc w:val="both"/>
      </w:pPr>
      <w:r>
        <w:rPr>
          <w:rFonts w:ascii="Arial" w:hAnsi="Arial" w:eastAsia="Microsoft YaHei"/>
          <w:b w:val="0"/>
          <w:i w:val="0"/>
          <w:color w:val="1C1F1E"/>
          <w:sz w:val="17"/>
        </w:rPr>
        <w:t xml:space="preserve">89. 小崎智照, 石橋圭太, 堀之内和彦, 野口朱里, 橋冨加奈, 安河内朗. 森林浴が生理反応へ与える影響. 日本生気象学会雑誌. 2007;44(4):105-110. doi:10.11227/seikisho.44.105. </w:t>
      </w:r>
      <w:hyperlink r:id="rId99" w:history="1">
        <w:r>
          <w:rPr>
            <w:rFonts w:ascii="Arial" w:hAnsi="Arial" w:eastAsia="Microsoft YaHei"/>
            <w:color w:val="0563C1"/>
            <w:u w:val="single"/>
            <w:sz w:val="17"/>
          </w:rPr>
          <w:t>https://www.jstage.jst.go.jp/article/seikisho/44/4/44_4_105/_article/-char/ja/</w:t>
        </w:r>
      </w:hyperlink>
    </w:p>
    <w:p>
      <w:pPr>
        <w:spacing w:line="240" w:lineRule="auto" w:after="16"/>
        <w:jc w:val="both"/>
      </w:pPr>
      <w:r>
        <w:rPr>
          <w:rFonts w:ascii="Arial" w:hAnsi="Arial" w:eastAsia="Microsoft YaHei"/>
          <w:b w:val="0"/>
          <w:i w:val="0"/>
          <w:color w:val="1C1F1E"/>
          <w:sz w:val="17"/>
        </w:rPr>
        <w:t xml:space="preserve">90. 久米田茂喜, 酒井誉, 平田忍, 小山佳紀. 森林浴発祥地における森林セラピーの活動紹介と実験結果の報告. 日本衛生学雑誌. 2011;66(4):677-681. doi:10.1265/jjh.66.677. </w:t>
      </w:r>
      <w:hyperlink r:id="rId100" w:history="1">
        <w:r>
          <w:rPr>
            <w:rFonts w:ascii="Arial" w:hAnsi="Arial" w:eastAsia="Microsoft YaHei"/>
            <w:color w:val="0563C1"/>
            <w:u w:val="single"/>
            <w:sz w:val="17"/>
          </w:rPr>
          <w:t>https://www.jstage.jst.go.jp/article/jjh/66/4/66_4_677/_article/-char/ja/</w:t>
        </w:r>
      </w:hyperlink>
    </w:p>
    <w:p>
      <w:pPr>
        <w:spacing w:line="240" w:lineRule="auto" w:after="16"/>
        <w:jc w:val="both"/>
      </w:pPr>
      <w:r>
        <w:rPr>
          <w:rFonts w:ascii="Arial" w:hAnsi="Arial" w:eastAsia="Microsoft YaHei"/>
          <w:b w:val="0"/>
          <w:i w:val="0"/>
          <w:color w:val="1C1F1E"/>
          <w:sz w:val="17"/>
        </w:rPr>
        <w:t xml:space="preserve">91. 森康則, 犬飼健自, 一色博, 今井奈妙. 自律神経機能と感情尺度に着目したヒノキ浴槽の入浴に伴うリラックス効果. 日本温泉気候物理医学会雑誌. 2016;80(2):66-72. doi:10.11390/onki.2303. </w:t>
      </w:r>
      <w:hyperlink r:id="rId101" w:history="1">
        <w:r>
          <w:rPr>
            <w:rFonts w:ascii="Arial" w:hAnsi="Arial" w:eastAsia="Microsoft YaHei"/>
            <w:color w:val="0563C1"/>
            <w:u w:val="single"/>
            <w:sz w:val="17"/>
          </w:rPr>
          <w:t>https://www.jstage.jst.go.jp/article/onki/80/2/80_2303/_article/-char/ja</w:t>
        </w:r>
      </w:hyperlink>
    </w:p>
    <w:p>
      <w:pPr>
        <w:spacing w:line="240" w:lineRule="auto" w:after="16" w:before="240"/>
        <w:jc w:val="right"/>
      </w:pPr>
      <w:r>
        <w:rPr>
          <w:rFonts w:ascii="Yu Mincho" w:hAnsi="Yu Mincho" w:eastAsia="Yu Mincho"/>
        </w:rPr>
        <w:t>一般社団法人国際審査員連盟　石原美惠子</w:t>
      </w:r>
    </w:p>
    <w:sectPr w:rsidR="00FC693F" w:rsidRPr="0006063C" w:rsidSect="00034616">
      <w:headerReference w:type="default" r:id="rId9"/>
      <w:footerReference w:type="default" r:id="rId10"/>
      <w:headerReference w:type="first" r:id="rId104"/>
      <w:headerReference w:type="even" r:id="rId105"/>
      <w:footerReference w:type="first" r:id="rId106"/>
      <w:footerReference w:type="even" r:id="rId107"/>
      <w:pgSz w:w="11906" w:h="16838"/>
      <w:pgMar w:top="1247" w:right="1332" w:bottom="1247" w:left="1332"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Microsoft YaHei"/>
        <w:b w:val="0"/>
        <w:i w:val="0"/>
        <w:color w:val="5B6B65"/>
        <w:sz w:val="17"/>
      </w:rPr>
      <w:t xml:space="preserve">石原美惠子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Arial" w:hAnsi="Arial" w:eastAsia="Microsoft YaHei"/>
        <w:i w:val="0"/>
        <w:color w:val="5B6B65"/>
        <w:sz w:val="17"/>
      </w:rPr>
      <w:t>森林医学投稿・日本語完成版</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31" w:lineRule="auto"/>
      <w:jc w:val="both"/>
    </w:pPr>
    <w:rPr>
      <w:rFonts w:ascii="Yu Mincho" w:hAnsi="Yu Mincho" w:eastAsia="Yu Mincho"/>
      <w:b w:val="0"/>
      <w:color w:val="1C1F1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Yu Mincho" w:hAnsi="Yu Mincho" w:eastAsia="Yu Mincho"/>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Yu Mincho" w:hAnsi="Yu Mincho" w:eastAsia="Yu Mincho"/>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Yu Gothic" w:hAnsi="Yu Gothic" w:eastAsia="Yu Gothic"/>
      <w:b/>
      <w:bCs/>
      <w:color w:val="265344"/>
      <w:sz w:val="29"/>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Yu Gothic" w:hAnsi="Yu Gothic" w:eastAsia="Yu Gothic"/>
      <w:b/>
      <w:bCs/>
      <w:color w:val="1F4539"/>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Yu Gothic" w:hAnsi="Yu Gothic" w:eastAsia="Yu Gothic"/>
      <w:b/>
      <w:bCs/>
      <w:color w:val="1F453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Yu Gothic" w:hAnsi="Yu Gothic" w:eastAsia="Yu Gothic"/>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Yu Gothic" w:hAnsi="Yu Gothic" w:eastAsia="Yu Gothic"/>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Yu Gothic" w:hAnsi="Yu Gothic" w:eastAsia="Yu Gothic"/>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Yu Gothic" w:hAnsi="Yu Gothic" w:eastAsia="Yu Gothic"/>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Yu Gothic" w:hAnsi="Yu Gothic" w:eastAsia="Yu Gothic"/>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Yu Gothic" w:hAnsi="Yu Gothic" w:eastAsia="Yu Gothic"/>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Yu Mincho" w:hAnsi="Yu Mincho" w:eastAsia="Yu Mincho"/>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jc w:val="center"/>
    </w:pPr>
    <w:rPr>
      <w:rFonts w:asciiTheme="majorHAnsi" w:eastAsiaTheme="majorEastAsia" w:hAnsiTheme="majorHAnsi" w:cstheme="majorBidi" w:ascii="Yu Gothic" w:hAnsi="Yu Gothic" w:eastAsia="Yu Gothic"/>
      <w:b/>
      <w:color w:val="265344"/>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jc w:val="center"/>
    </w:pPr>
    <w:rPr>
      <w:rFonts w:asciiTheme="majorHAnsi" w:eastAsiaTheme="majorEastAsia" w:hAnsiTheme="majorHAnsi" w:cstheme="majorBidi" w:ascii="Yu Gothic" w:hAnsi="Yu Gothic" w:eastAsia="Yu Gothic"/>
      <w:b w:val="0"/>
      <w:i/>
      <w:iCs/>
      <w:color w:val="5B6B65"/>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Yu Mincho" w:hAnsi="Yu Mincho" w:eastAsia="Yu Mincho"/>
    </w:rPr>
  </w:style>
  <w:style w:type="paragraph" w:styleId="BodyText">
    <w:name w:val="Body Text"/>
    <w:basedOn w:val="Normal"/>
    <w:link w:val="BodyTextChar"/>
    <w:uiPriority w:val="99"/>
    <w:unhideWhenUsed/>
    <w:rsid w:val="00AA1D8D"/>
    <w:pPr>
      <w:spacing w:after="120"/>
    </w:pPr>
    <w:rPr>
      <w:rFonts w:ascii="Yu Mincho" w:hAnsi="Yu Mincho" w:eastAsia="Yu Mincho"/>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Yu Mincho" w:hAnsi="Yu Mincho" w:eastAsia="Yu Mincho"/>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Yu Mincho" w:hAnsi="Yu Mincho" w:eastAsia="Yu Mincho"/>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Yu Mincho" w:hAnsi="Yu Mincho" w:eastAsia="Yu Mincho"/>
    </w:rPr>
  </w:style>
  <w:style w:type="paragraph" w:styleId="List2">
    <w:name w:val="List 2"/>
    <w:basedOn w:val="Normal"/>
    <w:uiPriority w:val="99"/>
    <w:unhideWhenUsed/>
    <w:rsid w:val="00326F90"/>
    <w:pPr>
      <w:ind w:left="720" w:hanging="360"/>
      <w:contextualSpacing/>
    </w:pPr>
    <w:rPr>
      <w:rFonts w:ascii="Yu Mincho" w:hAnsi="Yu Mincho" w:eastAsia="Yu Mincho"/>
    </w:rPr>
  </w:style>
  <w:style w:type="paragraph" w:styleId="List3">
    <w:name w:val="List 3"/>
    <w:basedOn w:val="Normal"/>
    <w:uiPriority w:val="99"/>
    <w:unhideWhenUsed/>
    <w:rsid w:val="00326F90"/>
    <w:pPr>
      <w:ind w:left="1080" w:hanging="360"/>
      <w:contextualSpacing/>
    </w:pPr>
    <w:rPr>
      <w:rFonts w:ascii="Yu Mincho" w:hAnsi="Yu Mincho" w:eastAsia="Yu Mincho"/>
    </w:rPr>
  </w:style>
  <w:style w:type="paragraph" w:styleId="ListBullet">
    <w:name w:val="List Bullet"/>
    <w:basedOn w:val="Normal"/>
    <w:uiPriority w:val="99"/>
    <w:unhideWhenUsed/>
    <w:rsid w:val="00326F90"/>
    <w:pPr>
      <w:numPr>
        <w:numId w:val="1"/>
      </w:numPr>
      <w:spacing w:after="70"/>
      <w:ind w:left="510" w:hanging="255"/>
      <w:contextualSpacing/>
    </w:pPr>
    <w:rPr>
      <w:rFonts w:ascii="Yu Mincho" w:hAnsi="Yu Mincho" w:eastAsia="Yu Mincho"/>
      <w:b w:val="0"/>
      <w:color w:val="1C1F1E"/>
      <w:sz w:val="21"/>
    </w:rPr>
  </w:style>
  <w:style w:type="paragraph" w:styleId="ListBullet2">
    <w:name w:val="List Bullet 2"/>
    <w:basedOn w:val="Normal"/>
    <w:uiPriority w:val="99"/>
    <w:unhideWhenUsed/>
    <w:rsid w:val="00326F90"/>
    <w:pPr>
      <w:numPr>
        <w:numId w:val="2"/>
      </w:numPr>
      <w:contextualSpacing/>
    </w:pPr>
    <w:rPr>
      <w:rFonts w:ascii="Yu Mincho" w:hAnsi="Yu Mincho" w:eastAsia="Yu Mincho"/>
    </w:rPr>
  </w:style>
  <w:style w:type="paragraph" w:styleId="ListBullet3">
    <w:name w:val="List Bullet 3"/>
    <w:basedOn w:val="Normal"/>
    <w:uiPriority w:val="99"/>
    <w:unhideWhenUsed/>
    <w:rsid w:val="00326F90"/>
    <w:pPr>
      <w:numPr>
        <w:numId w:val="3"/>
      </w:numPr>
      <w:contextualSpacing/>
    </w:pPr>
    <w:rPr>
      <w:rFonts w:ascii="Yu Mincho" w:hAnsi="Yu Mincho" w:eastAsia="Yu Mincho"/>
    </w:rPr>
  </w:style>
  <w:style w:type="paragraph" w:styleId="ListNumber">
    <w:name w:val="List Number"/>
    <w:basedOn w:val="Normal"/>
    <w:uiPriority w:val="99"/>
    <w:unhideWhenUsed/>
    <w:rsid w:val="00326F90"/>
    <w:pPr>
      <w:numPr>
        <w:numId w:val="5"/>
      </w:numPr>
      <w:spacing w:after="70"/>
      <w:ind w:left="510" w:hanging="255"/>
      <w:contextualSpacing/>
    </w:pPr>
    <w:rPr>
      <w:rFonts w:ascii="Yu Mincho" w:hAnsi="Yu Mincho" w:eastAsia="Yu Mincho"/>
      <w:b w:val="0"/>
      <w:color w:val="1C1F1E"/>
      <w:sz w:val="21"/>
    </w:rPr>
  </w:style>
  <w:style w:type="paragraph" w:styleId="ListNumber2">
    <w:name w:val="List Number 2"/>
    <w:basedOn w:val="Normal"/>
    <w:uiPriority w:val="99"/>
    <w:unhideWhenUsed/>
    <w:rsid w:val="0029639D"/>
    <w:pPr>
      <w:numPr>
        <w:numId w:val="6"/>
      </w:numPr>
      <w:contextualSpacing/>
    </w:pPr>
    <w:rPr>
      <w:rFonts w:ascii="Yu Mincho" w:hAnsi="Yu Mincho" w:eastAsia="Yu Mincho"/>
    </w:rPr>
  </w:style>
  <w:style w:type="paragraph" w:styleId="ListNumber3">
    <w:name w:val="List Number 3"/>
    <w:basedOn w:val="Normal"/>
    <w:uiPriority w:val="99"/>
    <w:unhideWhenUsed/>
    <w:rsid w:val="0029639D"/>
    <w:pPr>
      <w:numPr>
        <w:numId w:val="7"/>
      </w:numPr>
      <w:contextualSpacing/>
    </w:pPr>
    <w:rPr>
      <w:rFonts w:ascii="Yu Mincho" w:hAnsi="Yu Mincho" w:eastAsia="Yu Mincho"/>
    </w:rPr>
  </w:style>
  <w:style w:type="paragraph" w:styleId="ListContinue">
    <w:name w:val="List Continue"/>
    <w:basedOn w:val="Normal"/>
    <w:uiPriority w:val="99"/>
    <w:unhideWhenUsed/>
    <w:rsid w:val="0029639D"/>
    <w:pPr>
      <w:spacing w:after="120"/>
      <w:ind w:left="360"/>
      <w:contextualSpacing/>
    </w:pPr>
    <w:rPr>
      <w:rFonts w:ascii="Yu Mincho" w:hAnsi="Yu Mincho" w:eastAsia="Yu Mincho"/>
    </w:rPr>
  </w:style>
  <w:style w:type="paragraph" w:styleId="ListContinue2">
    <w:name w:val="List Continue 2"/>
    <w:basedOn w:val="Normal"/>
    <w:uiPriority w:val="99"/>
    <w:unhideWhenUsed/>
    <w:rsid w:val="0029639D"/>
    <w:pPr>
      <w:spacing w:after="120"/>
      <w:ind w:left="720"/>
      <w:contextualSpacing/>
    </w:pPr>
    <w:rPr>
      <w:rFonts w:ascii="Yu Mincho" w:hAnsi="Yu Mincho" w:eastAsia="Yu Mincho"/>
    </w:rPr>
  </w:style>
  <w:style w:type="paragraph" w:styleId="ListContinue3">
    <w:name w:val="List Continue 3"/>
    <w:basedOn w:val="Normal"/>
    <w:uiPriority w:val="99"/>
    <w:unhideWhenUsed/>
    <w:rsid w:val="0029639D"/>
    <w:pPr>
      <w:spacing w:after="120"/>
      <w:ind w:left="1080"/>
      <w:contextualSpacing/>
    </w:pPr>
    <w:rPr>
      <w:rFonts w:ascii="Yu Mincho" w:hAnsi="Yu Mincho" w:eastAsia="Yu Mincho"/>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Yu Mincho" w:hAnsi="Yu Mincho" w:eastAsia="Yu Mincho"/>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Yu Mincho" w:hAnsi="Yu Mincho" w:eastAsia="Yu Mincho"/>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Yu Mincho" w:hAnsi="Yu Mincho" w:eastAsia="Yu Mincho"/>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Yu Mincho" w:hAnsi="Yu Mincho" w:eastAsia="Yu Mincho"/>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Yu Gothic" w:hAnsi="Yu Gothic" w:eastAsia="Yu Gothic"/>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ubmed.ncbi.nlm.nih.gov/32045797/" TargetMode="External"/><Relationship Id="rId12" Type="http://schemas.openxmlformats.org/officeDocument/2006/relationships/hyperlink" Target="https://pubmed.ncbi.nlm.nih.gov/30973027/" TargetMode="External"/><Relationship Id="rId13" Type="http://schemas.openxmlformats.org/officeDocument/2006/relationships/hyperlink" Target="https://pubmed.ncbi.nlm.nih.gov/36328581/" TargetMode="External"/><Relationship Id="rId14" Type="http://schemas.openxmlformats.org/officeDocument/2006/relationships/hyperlink" Target="https://pubmed.ncbi.nlm.nih.gov/19568835/" TargetMode="External"/><Relationship Id="rId15" Type="http://schemas.openxmlformats.org/officeDocument/2006/relationships/hyperlink" Target="https://pubmed.ncbi.nlm.nih.gov/31001682/" TargetMode="External"/><Relationship Id="rId16" Type="http://schemas.openxmlformats.org/officeDocument/2006/relationships/hyperlink" Target="https://pubmed.ncbi.nlm.nih.gov/36864583/" TargetMode="External"/><Relationship Id="rId17" Type="http://schemas.openxmlformats.org/officeDocument/2006/relationships/hyperlink" Target="https://pubmed.ncbi.nlm.nih.gov/39554703/" TargetMode="External"/><Relationship Id="rId18" Type="http://schemas.openxmlformats.org/officeDocument/2006/relationships/hyperlink" Target="https://pubmed.ncbi.nlm.nih.gov/41756503/" TargetMode="External"/><Relationship Id="rId19" Type="http://schemas.openxmlformats.org/officeDocument/2006/relationships/hyperlink" Target="https://pubmed.ncbi.nlm.nih.gov/19568839/" TargetMode="External"/><Relationship Id="rId20" Type="http://schemas.openxmlformats.org/officeDocument/2006/relationships/hyperlink" Target="https://pubmed.ncbi.nlm.nih.gov/28443180/" TargetMode="External"/><Relationship Id="rId21" Type="http://schemas.openxmlformats.org/officeDocument/2006/relationships/hyperlink" Target="https://pubmed.ncbi.nlm.nih.gov/20617017/" TargetMode="External"/><Relationship Id="rId22" Type="http://schemas.openxmlformats.org/officeDocument/2006/relationships/hyperlink" Target="https://pubmed.ncbi.nlm.nih.gov/38373459/" TargetMode="External"/><Relationship Id="rId23" Type="http://schemas.openxmlformats.org/officeDocument/2006/relationships/hyperlink" Target="https://pubmed.ncbi.nlm.nih.gov/39803887/" TargetMode="External"/><Relationship Id="rId24" Type="http://schemas.openxmlformats.org/officeDocument/2006/relationships/hyperlink" Target="https://pubmed.ncbi.nlm.nih.gov/30406397/" TargetMode="External"/><Relationship Id="rId25" Type="http://schemas.openxmlformats.org/officeDocument/2006/relationships/hyperlink" Target="https://pubmed.ncbi.nlm.nih.gov/27447673/" TargetMode="External"/><Relationship Id="rId26" Type="http://schemas.openxmlformats.org/officeDocument/2006/relationships/hyperlink" Target="https://pubmed.ncbi.nlm.nih.gov/38589702/" TargetMode="External"/><Relationship Id="rId27" Type="http://schemas.openxmlformats.org/officeDocument/2006/relationships/hyperlink" Target="https://pubmed.ncbi.nlm.nih.gov/23251939/" TargetMode="External"/><Relationship Id="rId28" Type="http://schemas.openxmlformats.org/officeDocument/2006/relationships/hyperlink" Target="https://pubmed.ncbi.nlm.nih.gov/20809811/" TargetMode="External"/><Relationship Id="rId29" Type="http://schemas.openxmlformats.org/officeDocument/2006/relationships/hyperlink" Target="https://pubmed.ncbi.nlm.nih.gov/33488750/" TargetMode="External"/><Relationship Id="rId30" Type="http://schemas.openxmlformats.org/officeDocument/2006/relationships/hyperlink" Target="https://pubmed.ncbi.nlm.nih.gov/26365448/" TargetMode="External"/><Relationship Id="rId31" Type="http://schemas.openxmlformats.org/officeDocument/2006/relationships/hyperlink" Target="https://pubmed.ncbi.nlm.nih.gov/38884799/" TargetMode="External"/><Relationship Id="rId32" Type="http://schemas.openxmlformats.org/officeDocument/2006/relationships/hyperlink" Target="https://pubmed.ncbi.nlm.nih.gov/29977318/" TargetMode="External"/><Relationship Id="rId33" Type="http://schemas.openxmlformats.org/officeDocument/2006/relationships/hyperlink" Target="https://pubmed.ncbi.nlm.nih.gov/37809617/" TargetMode="External"/><Relationship Id="rId34" Type="http://schemas.openxmlformats.org/officeDocument/2006/relationships/hyperlink" Target="https://pubmed.ncbi.nlm.nih.gov/35168673/" TargetMode="External"/><Relationship Id="rId35" Type="http://schemas.openxmlformats.org/officeDocument/2006/relationships/hyperlink" Target="https://pubmed.ncbi.nlm.nih.gov/37145200/" TargetMode="External"/><Relationship Id="rId36" Type="http://schemas.openxmlformats.org/officeDocument/2006/relationships/hyperlink" Target="https://www.pref.kanagawa.jp/docs/cz6/me-byokaizen/index.html" TargetMode="External"/><Relationship Id="rId37" Type="http://schemas.openxmlformats.org/officeDocument/2006/relationships/hyperlink" Target="https://www.mhlw.go.jp/stf/newpage_61544.html" TargetMode="External"/><Relationship Id="rId38" Type="http://schemas.openxmlformats.org/officeDocument/2006/relationships/hyperlink" Target="https://pubmed.ncbi.nlm.nih.gov/28265249/" TargetMode="External"/><Relationship Id="rId39" Type="http://schemas.openxmlformats.org/officeDocument/2006/relationships/hyperlink" Target="https://pubmed.ncbi.nlm.nih.gov/38873876/" TargetMode="External"/><Relationship Id="rId40" Type="http://schemas.openxmlformats.org/officeDocument/2006/relationships/hyperlink" Target="https://pubmed.ncbi.nlm.nih.gov/22965867/" TargetMode="External"/><Relationship Id="rId41" Type="http://schemas.openxmlformats.org/officeDocument/2006/relationships/hyperlink" Target="https://pubmed.ncbi.nlm.nih.gov/2132363/" TargetMode="External"/><Relationship Id="rId42" Type="http://schemas.openxmlformats.org/officeDocument/2006/relationships/hyperlink" Target="https://pubmed.ncbi.nlm.nih.gov/12892658/" TargetMode="External"/><Relationship Id="rId43" Type="http://schemas.openxmlformats.org/officeDocument/2006/relationships/hyperlink" Target="https://pubmed.ncbi.nlm.nih.gov/26978655/" TargetMode="External"/><Relationship Id="rId44" Type="http://schemas.openxmlformats.org/officeDocument/2006/relationships/hyperlink" Target="https://pubmed.ncbi.nlm.nih.gov/20053272/" TargetMode="External"/><Relationship Id="rId45" Type="http://schemas.openxmlformats.org/officeDocument/2006/relationships/hyperlink" Target="https://pubmed.ncbi.nlm.nih.gov/31366597/" TargetMode="External"/><Relationship Id="rId46" Type="http://schemas.openxmlformats.org/officeDocument/2006/relationships/hyperlink" Target="https://pubmed.ncbi.nlm.nih.gov/30932866/" TargetMode="External"/><Relationship Id="rId47" Type="http://schemas.openxmlformats.org/officeDocument/2006/relationships/hyperlink" Target="https://pubmed.ncbi.nlm.nih.gov/35895674/" TargetMode="External"/><Relationship Id="rId48" Type="http://schemas.openxmlformats.org/officeDocument/2006/relationships/hyperlink" Target="https://pubmed.ncbi.nlm.nih.gov/18394317/" TargetMode="External"/><Relationship Id="rId49" Type="http://schemas.openxmlformats.org/officeDocument/2006/relationships/hyperlink" Target="https://pubmed.ncbi.nlm.nih.gov/24609605/" TargetMode="External"/><Relationship Id="rId50" Type="http://schemas.openxmlformats.org/officeDocument/2006/relationships/hyperlink" Target="https://pubmed.ncbi.nlm.nih.gov/28630973/" TargetMode="External"/><Relationship Id="rId51" Type="http://schemas.openxmlformats.org/officeDocument/2006/relationships/hyperlink" Target="https://www.who.int/publications/i/item/B09366" TargetMode="External"/><Relationship Id="rId52" Type="http://schemas.openxmlformats.org/officeDocument/2006/relationships/hyperlink" Target="https://www.pref.kanagawa.jp/docs/mv4/mebyo-index/mebyo-index_outline.html" TargetMode="External"/><Relationship Id="rId53" Type="http://schemas.openxmlformats.org/officeDocument/2006/relationships/hyperlink" Target="https://www.rinya.maff.go.jp/j/sanson/kassei/sangyou.html" TargetMode="External"/><Relationship Id="rId54" Type="http://schemas.openxmlformats.org/officeDocument/2006/relationships/hyperlink" Target="https://forest-medicine.jp/5422" TargetMode="External"/><Relationship Id="rId55" Type="http://schemas.openxmlformats.org/officeDocument/2006/relationships/hyperlink" Target="https://pubmed.ncbi.nlm.nih.gov/23320516/" TargetMode="External"/><Relationship Id="rId56" Type="http://schemas.openxmlformats.org/officeDocument/2006/relationships/hyperlink" Target="https://www.who.int/news-room/questions-and-answers/item/radiation-electromagnetic-fields" TargetMode="External"/><Relationship Id="rId57" Type="http://schemas.openxmlformats.org/officeDocument/2006/relationships/hyperlink" Target="https://pubmed.ncbi.nlm.nih.gov/35747675/" TargetMode="External"/><Relationship Id="rId58" Type="http://schemas.openxmlformats.org/officeDocument/2006/relationships/hyperlink" Target="https://pubmed.ncbi.nlm.nih.gov/28788101/" TargetMode="External"/><Relationship Id="rId59" Type="http://schemas.openxmlformats.org/officeDocument/2006/relationships/hyperlink" Target="https://pubmed.ncbi.nlm.nih.gov/28814305/" TargetMode="External"/><Relationship Id="rId60" Type="http://schemas.openxmlformats.org/officeDocument/2006/relationships/hyperlink" Target="https://pubmed.ncbi.nlm.nih.gov/31787069/" TargetMode="External"/><Relationship Id="rId61" Type="http://schemas.openxmlformats.org/officeDocument/2006/relationships/hyperlink" Target="https://pubmed.ncbi.nlm.nih.gov/33670337/" TargetMode="External"/><Relationship Id="rId62" Type="http://schemas.openxmlformats.org/officeDocument/2006/relationships/hyperlink" Target="https://pubmed.ncbi.nlm.nih.gov/33910423/" TargetMode="External"/><Relationship Id="rId63" Type="http://schemas.openxmlformats.org/officeDocument/2006/relationships/hyperlink" Target="https://pubmed.ncbi.nlm.nih.gov/32571202/" TargetMode="External"/><Relationship Id="rId64" Type="http://schemas.openxmlformats.org/officeDocument/2006/relationships/hyperlink" Target="https://pubmed.ncbi.nlm.nih.gov/17903349/" TargetMode="External"/><Relationship Id="rId65" Type="http://schemas.openxmlformats.org/officeDocument/2006/relationships/hyperlink" Target="https://pubmed.ncbi.nlm.nih.gov/20487629/" TargetMode="External"/><Relationship Id="rId66" Type="http://schemas.openxmlformats.org/officeDocument/2006/relationships/hyperlink" Target="https://pubmed.ncbi.nlm.nih.gov/34444188/" TargetMode="External"/><Relationship Id="rId67" Type="http://schemas.openxmlformats.org/officeDocument/2006/relationships/hyperlink" Target="https://pubmed.ncbi.nlm.nih.gov/31817971/" TargetMode="External"/><Relationship Id="rId68" Type="http://schemas.openxmlformats.org/officeDocument/2006/relationships/hyperlink" Target="https://pubmed.ncbi.nlm.nih.gov/33981262/" TargetMode="External"/><Relationship Id="rId69" Type="http://schemas.openxmlformats.org/officeDocument/2006/relationships/hyperlink" Target="https://pubmed.ncbi.nlm.nih.gov/36229489/" TargetMode="External"/><Relationship Id="rId70" Type="http://schemas.openxmlformats.org/officeDocument/2006/relationships/hyperlink" Target="https://pubmed.ncbi.nlm.nih.gov/31344973/" TargetMode="External"/><Relationship Id="rId71" Type="http://schemas.openxmlformats.org/officeDocument/2006/relationships/hyperlink" Target="https://pubmed.ncbi.nlm.nih.gov/41028066/" TargetMode="External"/><Relationship Id="rId72" Type="http://schemas.openxmlformats.org/officeDocument/2006/relationships/hyperlink" Target="https://pubmed.ncbi.nlm.nih.gov/24456210/" TargetMode="External"/><Relationship Id="rId73" Type="http://schemas.openxmlformats.org/officeDocument/2006/relationships/hyperlink" Target="https://pubmed.ncbi.nlm.nih.gov/31300656/" TargetMode="External"/><Relationship Id="rId74" Type="http://schemas.openxmlformats.org/officeDocument/2006/relationships/hyperlink" Target="https://pubmed.ncbi.nlm.nih.gov/33827295/" TargetMode="External"/><Relationship Id="rId75" Type="http://schemas.openxmlformats.org/officeDocument/2006/relationships/hyperlink" Target="https://pubmed.ncbi.nlm.nih.gov/39516236/" TargetMode="External"/><Relationship Id="rId76" Type="http://schemas.openxmlformats.org/officeDocument/2006/relationships/hyperlink" Target="https://pubmed.ncbi.nlm.nih.gov/32423106/" TargetMode="External"/><Relationship Id="rId77" Type="http://schemas.openxmlformats.org/officeDocument/2006/relationships/hyperlink" Target="https://pubmed.ncbi.nlm.nih.gov/31898198/" TargetMode="External"/><Relationship Id="rId78" Type="http://schemas.openxmlformats.org/officeDocument/2006/relationships/hyperlink" Target="https://pubmed.ncbi.nlm.nih.gov/30274196/" TargetMode="External"/><Relationship Id="rId79" Type="http://schemas.openxmlformats.org/officeDocument/2006/relationships/hyperlink" Target="https://pubmed.ncbi.nlm.nih.gov/32603272/" TargetMode="External"/><Relationship Id="rId80" Type="http://schemas.openxmlformats.org/officeDocument/2006/relationships/hyperlink" Target="https://pubmed.ncbi.nlm.nih.gov/29882782/" TargetMode="External"/><Relationship Id="rId81" Type="http://schemas.openxmlformats.org/officeDocument/2006/relationships/hyperlink" Target="https://pubmed.ncbi.nlm.nih.gov/36526152/" TargetMode="External"/><Relationship Id="rId82" Type="http://schemas.openxmlformats.org/officeDocument/2006/relationships/hyperlink" Target="https://pubmed.ncbi.nlm.nih.gov/15574496/" TargetMode="External"/><Relationship Id="rId83" Type="http://schemas.openxmlformats.org/officeDocument/2006/relationships/hyperlink" Target="https://pubmed.ncbi.nlm.nih.gov/34736994/" TargetMode="External"/><Relationship Id="rId84" Type="http://schemas.openxmlformats.org/officeDocument/2006/relationships/hyperlink" Target="https://pubmed.ncbi.nlm.nih.gov/31903785/" TargetMode="External"/><Relationship Id="rId85" Type="http://schemas.openxmlformats.org/officeDocument/2006/relationships/hyperlink" Target="https://pubmed.ncbi.nlm.nih.gov/39582797/" TargetMode="External"/><Relationship Id="rId86" Type="http://schemas.openxmlformats.org/officeDocument/2006/relationships/hyperlink" Target="https://pubmed.ncbi.nlm.nih.gov/42437991/" TargetMode="External"/><Relationship Id="rId87" Type="http://schemas.openxmlformats.org/officeDocument/2006/relationships/hyperlink" Target="https://pubmed.ncbi.nlm.nih.gov/40485383/" TargetMode="External"/><Relationship Id="rId88" Type="http://schemas.openxmlformats.org/officeDocument/2006/relationships/hyperlink" Target="https://pubmed.ncbi.nlm.nih.gov/39100558/" TargetMode="External"/><Relationship Id="rId89" Type="http://schemas.openxmlformats.org/officeDocument/2006/relationships/hyperlink" Target="https://pubmed.ncbi.nlm.nih.gov/39329057/" TargetMode="External"/><Relationship Id="rId90" Type="http://schemas.openxmlformats.org/officeDocument/2006/relationships/hyperlink" Target="https://www.who.int/publications/m/item/nature-based-solutions-for-health--leveraging-biodiversity-to-create-health-promoting-environments" TargetMode="External"/><Relationship Id="rId91" Type="http://schemas.openxmlformats.org/officeDocument/2006/relationships/hyperlink" Target="https://pubmed.ncbi.nlm.nih.gov/31881421/" TargetMode="External"/><Relationship Id="rId92" Type="http://schemas.openxmlformats.org/officeDocument/2006/relationships/hyperlink" Target="https://pubmed.ncbi.nlm.nih.gov/31861700/" TargetMode="External"/><Relationship Id="rId93" Type="http://schemas.openxmlformats.org/officeDocument/2006/relationships/hyperlink" Target="https://www.env.go.jp/nature/onsen/point/index.html" TargetMode="External"/><Relationship Id="rId94" Type="http://schemas.openxmlformats.org/officeDocument/2006/relationships/hyperlink" Target="https://www.env.go.jp/nature/onsen/pdf/hyouki2021.pdf" TargetMode="External"/><Relationship Id="rId95" Type="http://schemas.openxmlformats.org/officeDocument/2006/relationships/hyperlink" Target="https://www.jstage.jst.go.jp/article/jjh/69/2/69_117/_article/-char/ja/" TargetMode="External"/><Relationship Id="rId96" Type="http://schemas.openxmlformats.org/officeDocument/2006/relationships/hyperlink" Target="https://www.jstage.jst.go.jp/article/manms/17/4/17_229/_pdf/-char/ja" TargetMode="External"/><Relationship Id="rId97" Type="http://schemas.openxmlformats.org/officeDocument/2006/relationships/hyperlink" Target="https://www.jstage.jst.go.jp/article/jjrmc/62/5/62_62.469/_article/-char/ja/" TargetMode="External"/><Relationship Id="rId98" Type="http://schemas.openxmlformats.org/officeDocument/2006/relationships/hyperlink" Target="https://www.jstage.jst.go.jp/article/ehpm/31/0/31_25-00319/_article/-char/en" TargetMode="External"/><Relationship Id="rId99" Type="http://schemas.openxmlformats.org/officeDocument/2006/relationships/hyperlink" Target="https://www.jstage.jst.go.jp/article/seikisho/44/4/44_4_105/_article/-char/ja/" TargetMode="External"/><Relationship Id="rId100" Type="http://schemas.openxmlformats.org/officeDocument/2006/relationships/hyperlink" Target="https://www.jstage.jst.go.jp/article/jjh/66/4/66_4_677/_article/-char/ja/" TargetMode="External"/><Relationship Id="rId101" Type="http://schemas.openxmlformats.org/officeDocument/2006/relationships/hyperlink" Target="https://www.jstage.jst.go.jp/article/onki/80/2/80_2303/_article/-char/ja" TargetMode="External"/><Relationship Id="rId102" Type="http://schemas.openxmlformats.org/officeDocument/2006/relationships/image" Target="media/image1.png"/><Relationship Id="rId103" Type="http://schemas.openxmlformats.org/officeDocument/2006/relationships/image" Target="media/image2.png"/><Relationship Id="rId104" Type="http://schemas.openxmlformats.org/officeDocument/2006/relationships/header" Target="header2.xml"/><Relationship Id="rId105" Type="http://schemas.openxmlformats.org/officeDocument/2006/relationships/header" Target="header3.xml"/><Relationship Id="rId106" Type="http://schemas.openxmlformats.org/officeDocument/2006/relationships/footer" Target="footer2.xml"/><Relationship Id="rId10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森林の多感覚環境、温泉浴およびSPA
トリートメントをつなぐ継続的未病ケアモデル</dc:title>
  <dc:subject>森林医学、未病ケア、SPA、森林浴および温泉浴</dc:subject>
  <dc:creator>石原美惠子</dc:creator>
  <cp:keywords>森林浴, 未病ケア, SPA, 温泉浴, 多感覚環境</cp:keywords>
  <dc:description>Expert-optimized Chinese academic master with traceable references</dc:description>
  <cp:lastModifiedBy/>
  <cp:revision>1</cp:revision>
  <dcterms:created xsi:type="dcterms:W3CDTF">2013-12-23T23:15:00Z</dcterms:created>
  <dcterms:modified xsi:type="dcterms:W3CDTF">2013-12-23T23:15:00Z</dcterms:modified>
  <cp:category/>
  <dc:language>ja-JP</dc:language>
</cp:coreProperties>
</file>